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0"/>
      <w:r w:rsidRPr="002256AE">
        <w:rPr>
          <w:b/>
          <w:bCs/>
        </w:rPr>
        <w:tab/>
        <w:t xml:space="preserve">PRÁVA A POVINNOSTI POSKYTAVATEĽA A PRIJÍMATEĽA V SÚVISLOSTI S REALIZÁCIOU PROJEKTU  </w:t>
      </w:r>
      <w:commentRangeEnd w:id="0"/>
      <w:r w:rsidRPr="002256AE">
        <w:rPr>
          <w:rStyle w:val="Odkaznakomentr"/>
          <w:sz w:val="24"/>
        </w:rPr>
        <w:commentReference w:id="0"/>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bookmarkStart w:id="1" w:name="_GoBack"/>
      <w:bookmarkEnd w:id="1"/>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6E0BA0ED" w14:textId="77777777" w:rsidR="00EE0DF4" w:rsidRPr="002256AE" w:rsidRDefault="00083609">
      <w:pPr>
        <w:spacing w:before="120" w:after="120"/>
        <w:ind w:left="426"/>
        <w:jc w:val="both"/>
      </w:pPr>
      <w:r w:rsidRPr="002256AE">
        <w:rPr>
          <w:b/>
          <w:bCs/>
        </w:rPr>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w:t>
      </w:r>
      <w:r w:rsidRPr="002256AE">
        <w:lastRenderedPageBreak/>
        <w:t>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00781DA"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 xml:space="preserve">a je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0549CC13"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2"/>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sidRPr="002256AE">
        <w:rPr>
          <w:rStyle w:val="Odkaznakomentr"/>
          <w:sz w:val="24"/>
          <w:lang w:val="x-none" w:eastAsia="x-none"/>
        </w:rPr>
        <w:commentReference w:id="2"/>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3"/>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sidRPr="002256AE">
        <w:rPr>
          <w:rStyle w:val="Odkaznakomentr"/>
          <w:sz w:val="24"/>
          <w:lang w:val="x-none" w:eastAsia="x-none"/>
        </w:rPr>
        <w:commentReference w:id="3"/>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w:t>
      </w:r>
      <w:r w:rsidRPr="002256AE">
        <w:lastRenderedPageBreak/>
        <w:t>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F68F8C9" w14:textId="77777777" w:rsidR="00EE0DF4" w:rsidRPr="002256AE"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w:t>
      </w:r>
    </w:p>
    <w:p w14:paraId="591D1EF2" w14:textId="77777777" w:rsidR="00EE0DF4" w:rsidRPr="002256AE" w:rsidRDefault="00083609" w:rsidP="001F552C">
      <w:pPr>
        <w:spacing w:before="120" w:after="120"/>
        <w:ind w:left="426"/>
        <w:jc w:val="both"/>
      </w:pPr>
      <w:r w:rsidRPr="002256AE">
        <w:t>nezákonným aktivitám, vrátane zneužitia úradnej moci v rámci európskych inštitúcií, prostredníctvom výkonu interných a externých administratívnych vyšetrovaní;</w:t>
      </w:r>
    </w:p>
    <w:p w14:paraId="4D390148" w14:textId="77777777" w:rsidR="00EE0DF4" w:rsidRPr="002256AE" w:rsidRDefault="00083609">
      <w:pPr>
        <w:spacing w:before="120" w:after="120"/>
        <w:ind w:left="426"/>
        <w:jc w:val="both"/>
        <w:rPr>
          <w:bCs/>
        </w:rPr>
      </w:pPr>
      <w:commentRangeStart w:id="4"/>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4"/>
      <w:r w:rsidRPr="002256AE">
        <w:rPr>
          <w:rStyle w:val="Odkaznakomentr"/>
          <w:sz w:val="24"/>
          <w:lang w:val="x-none" w:eastAsia="x-none"/>
        </w:rPr>
        <w:commentReference w:id="4"/>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77777777" w:rsidR="00EE0DF4" w:rsidRPr="002256AE" w:rsidRDefault="00083609">
      <w:pPr>
        <w:spacing w:before="120" w:after="120"/>
        <w:ind w:left="426"/>
        <w:jc w:val="both"/>
      </w:pPr>
      <w:commentRangeStart w:id="5"/>
      <w:r w:rsidRPr="002256AE">
        <w:rPr>
          <w:b/>
        </w:rPr>
        <w:t>Iné peňažné príjmy</w:t>
      </w:r>
      <w:r w:rsidRPr="002256AE">
        <w:t xml:space="preserve"> – ide o akékoľvek príjmy, ktoré sa vyskytnú pri projektoch nespadajúcich svojim objemom alebo charakterom pod článok 61 všeobecného nariadenia Rady;</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5"/>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5"/>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w:t>
      </w:r>
      <w:r w:rsidRPr="002256AE">
        <w:lastRenderedPageBreak/>
        <w:t>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77777777"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Pr="005C0A29">
        <w:rPr>
          <w:bCs/>
        </w:rPr>
        <w:t>6 VP</w:t>
      </w:r>
      <w:r w:rsidRPr="002256AE">
        <w:rPr>
          <w:bCs/>
        </w:rPr>
        <w:t>;</w:t>
      </w:r>
    </w:p>
    <w:p w14:paraId="7A180556" w14:textId="0E05BF2D" w:rsidR="00EE0DF4" w:rsidRPr="002256AE" w:rsidRDefault="00083609">
      <w:pPr>
        <w:pStyle w:val="Zkladntext2"/>
        <w:widowControl w:val="0"/>
        <w:tabs>
          <w:tab w:val="left" w:pos="360"/>
        </w:tabs>
        <w:spacing w:before="120" w:line="240" w:lineRule="auto"/>
        <w:ind w:left="426"/>
        <w:jc w:val="both"/>
      </w:pPr>
      <w:commentRangeStart w:id="6"/>
      <w:r w:rsidRPr="002256AE">
        <w:rPr>
          <w:b/>
          <w:bCs/>
        </w:rPr>
        <w:t>Miera finančnej medzery</w:t>
      </w:r>
      <w:r w:rsidRPr="002256AE">
        <w:rPr>
          <w:bCs/>
        </w:rPr>
        <w:t xml:space="preserve"> - predstavuje podiel Finančnej medzery na diskontovaných investičných výdavkoch;</w:t>
      </w:r>
      <w:commentRangeEnd w:id="6"/>
      <w:r w:rsidRPr="002256AE">
        <w:rPr>
          <w:rStyle w:val="Odkaznakomentr"/>
          <w:sz w:val="24"/>
          <w:lang w:val="x-none" w:eastAsia="x-none"/>
        </w:rPr>
        <w:commentReference w:id="6"/>
      </w: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lastRenderedPageBreak/>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1485BFF7"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t xml:space="preserve">Nariadenie 966/2012 – </w:t>
      </w:r>
      <w:r w:rsidRPr="002256AE">
        <w:rPr>
          <w:rStyle w:val="Siln"/>
          <w:b w:val="0"/>
          <w:bCs/>
          <w:sz w:val="24"/>
          <w:szCs w:val="24"/>
        </w:rPr>
        <w:t xml:space="preserve">Nariadenie Európskeho parlamentu a Rady (EÚ, Euratom) č. 966/2012 z  25. októbra 2012, o rozpočtových pravidlách, ktoré sa vzťahujú na všeobecný rozpočet Únie, a zrušení nariadenia Rady (ES, Euratom) č. 1605/2002;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AF1B2F4"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w:t>
      </w:r>
      <w:r w:rsidRPr="002256AE">
        <w:rPr>
          <w:sz w:val="24"/>
          <w:szCs w:val="24"/>
        </w:rPr>
        <w:lastRenderedPageBreak/>
        <w:t>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Občiansky zákonník </w:t>
      </w:r>
      <w:r w:rsidRPr="002256AE">
        <w:rPr>
          <w:sz w:val="24"/>
          <w:szCs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7"/>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7"/>
      <w:r w:rsidR="00991A94" w:rsidRPr="00991A94">
        <w:rPr>
          <w:rStyle w:val="Odkaznakomentr"/>
          <w:rFonts w:eastAsia="Times New Roman"/>
          <w:lang w:val="x-none" w:eastAsia="x-none"/>
        </w:rPr>
        <w:commentReference w:id="7"/>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1C1FB6DE" w:rsidR="00EE0DF4" w:rsidRPr="002256AE"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78A52275" w14:textId="77777777" w:rsidR="00EE0DF4" w:rsidRPr="002256AE" w:rsidRDefault="00083609">
      <w:pPr>
        <w:pStyle w:val="AODefHead"/>
        <w:spacing w:before="120" w:after="120" w:line="240" w:lineRule="auto"/>
        <w:ind w:left="426"/>
        <w:rPr>
          <w:sz w:val="24"/>
          <w:szCs w:val="24"/>
        </w:rPr>
      </w:pPr>
      <w:commentRangeStart w:id="8"/>
      <w:commentRangeStart w:id="9"/>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w:t>
      </w:r>
      <w:r w:rsidRPr="002256AE">
        <w:rPr>
          <w:sz w:val="24"/>
          <w:szCs w:val="24"/>
        </w:rPr>
        <w:lastRenderedPageBreak/>
        <w:t xml:space="preserve">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8"/>
    <w:commentRangeEnd w:id="9"/>
    <w:p w14:paraId="5A35BF2F" w14:textId="1CE4D30B" w:rsidR="00EE0DF4" w:rsidRPr="002256AE" w:rsidRDefault="00083609">
      <w:pPr>
        <w:spacing w:before="120" w:after="120"/>
        <w:ind w:left="426"/>
        <w:jc w:val="both"/>
      </w:pPr>
      <w:r>
        <w:rPr>
          <w:rStyle w:val="Odkaznakomentr"/>
          <w:sz w:val="24"/>
        </w:rPr>
        <w:commentReference w:id="8"/>
      </w:r>
      <w:r w:rsidRPr="002256AE">
        <w:rPr>
          <w:rStyle w:val="Odkaznakomentr"/>
          <w:sz w:val="24"/>
        </w:rPr>
        <w:commentReference w:id="9"/>
      </w:r>
      <w:commentRangeStart w:id="10"/>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11"/>
      <w:r w:rsidRPr="002256AE">
        <w:rPr>
          <w:bCs/>
        </w:rPr>
        <w:t>10</w:t>
      </w:r>
      <w:commentRangeEnd w:id="11"/>
      <w:r w:rsidRPr="002256AE">
        <w:rPr>
          <w:rStyle w:val="Odkaznakomentr"/>
          <w:sz w:val="24"/>
        </w:rPr>
        <w:commentReference w:id="11"/>
      </w:r>
      <w:r w:rsidRPr="002256AE">
        <w:rPr>
          <w:bCs/>
        </w:rPr>
        <w:t>% a viac oproti plánovanej hodnote Miery finančnej medzery;</w:t>
      </w:r>
      <w:commentRangeEnd w:id="10"/>
      <w:r w:rsidRPr="002256AE">
        <w:rPr>
          <w:rStyle w:val="Odkaznakomentr"/>
          <w:sz w:val="24"/>
          <w:lang w:val="x-none" w:eastAsia="x-none"/>
        </w:rPr>
        <w:commentReference w:id="10"/>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77777777" w:rsidR="008E04DE" w:rsidRPr="002256AE" w:rsidRDefault="008E04DE" w:rsidP="008E04DE">
      <w:pPr>
        <w:spacing w:before="120" w:after="120"/>
        <w:ind w:left="426"/>
        <w:jc w:val="both"/>
      </w:pP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t>Predmet Projektu</w:t>
      </w:r>
      <w:r w:rsidRPr="002256AE">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w:t>
      </w:r>
      <w:r w:rsidRPr="002256AE">
        <w:lastRenderedPageBreak/>
        <w:t>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12"/>
      <w:r w:rsidRPr="002256AE">
        <w:rPr>
          <w:rFonts w:eastAsia="Times New Roman"/>
          <w:b/>
          <w:bCs/>
          <w:sz w:val="24"/>
          <w:szCs w:val="24"/>
        </w:rPr>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12"/>
      <w:r w:rsidRPr="002256AE">
        <w:rPr>
          <w:rStyle w:val="Odkaznakomentr"/>
          <w:sz w:val="24"/>
          <w:szCs w:val="24"/>
          <w:lang w:val="x-none" w:eastAsia="x-none"/>
        </w:rPr>
        <w:commentReference w:id="12"/>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3A628013"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čl. 61 ods. 3 Nariadenia Rady 1303/2013.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420D12C6"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lastRenderedPageBreak/>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3"/>
      <w:r w:rsidRPr="002256AE">
        <w:rPr>
          <w:sz w:val="24"/>
          <w:szCs w:val="24"/>
        </w:rPr>
        <w:t>......................</w:t>
      </w:r>
      <w:commentRangeEnd w:id="13"/>
      <w:r w:rsidRPr="002256AE">
        <w:rPr>
          <w:rStyle w:val="Odkaznakomentr"/>
          <w:sz w:val="24"/>
          <w:szCs w:val="24"/>
        </w:rPr>
        <w:commentReference w:id="13"/>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14"/>
      <w:r w:rsidRPr="002256AE">
        <w:rPr>
          <w:sz w:val="24"/>
          <w:szCs w:val="24"/>
        </w:rPr>
        <w:t>Vyzvaní</w:t>
      </w:r>
      <w:commentRangeEnd w:id="14"/>
      <w:r w:rsidRPr="002256AE">
        <w:rPr>
          <w:rStyle w:val="Odkaznakomentr"/>
          <w:sz w:val="24"/>
          <w:szCs w:val="24"/>
        </w:rPr>
        <w:commentReference w:id="14"/>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15"/>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5"/>
      <w:r w:rsidR="00991A94">
        <w:rPr>
          <w:rStyle w:val="Odkaznakomentr"/>
          <w:rFonts w:eastAsia="Times New Roman"/>
          <w:lang w:val="x-none" w:eastAsia="x-none"/>
        </w:rPr>
        <w:commentReference w:id="15"/>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16"/>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6"/>
      <w:r w:rsidRPr="00520399">
        <w:rPr>
          <w:rStyle w:val="Odkaznakomentr"/>
          <w:sz w:val="24"/>
        </w:rPr>
        <w:commentReference w:id="16"/>
      </w:r>
      <w:r w:rsidRPr="002256AE">
        <w:rPr>
          <w:b/>
          <w:sz w:val="24"/>
          <w:szCs w:val="24"/>
        </w:rPr>
        <w:t xml:space="preserve">- </w:t>
      </w:r>
      <w:r w:rsidRPr="002256AE">
        <w:rPr>
          <w:sz w:val="24"/>
          <w:szCs w:val="24"/>
        </w:rPr>
        <w:t xml:space="preserve">v súlade s uznesením vlády č. </w:t>
      </w:r>
      <w:commentRangeStart w:id="17"/>
      <w:r w:rsidRPr="002256AE">
        <w:rPr>
          <w:sz w:val="24"/>
          <w:szCs w:val="24"/>
        </w:rPr>
        <w:t xml:space="preserve">............... zo dňa .......................... je SO pre Operačný program ............................ ................................... (ďalej aj ako „OP“), </w:t>
      </w:r>
      <w:commentRangeEnd w:id="17"/>
      <w:r w:rsidRPr="002256AE">
        <w:rPr>
          <w:rStyle w:val="Odkaznakomentr"/>
          <w:sz w:val="24"/>
          <w:szCs w:val="24"/>
          <w:lang w:val="x-none" w:eastAsia="x-none"/>
        </w:rPr>
        <w:commentReference w:id="17"/>
      </w:r>
      <w:r w:rsidRPr="002256AE">
        <w:rPr>
          <w:sz w:val="24"/>
          <w:szCs w:val="24"/>
        </w:rPr>
        <w:t xml:space="preserve">ktorý vykonáva úlohy v mene a na účet RO. V prípade, ak poskytnutý príspevok zahŕňa poskytnutie pomoci, SO koná ako vykonávateľ pomoci poskytovanej prostredníctvom EŠIF. Rozsah a definovanie úloh SO je predmetom zmluvy o vykonávaní </w:t>
      </w:r>
      <w:r w:rsidRPr="002256AE">
        <w:rPr>
          <w:sz w:val="24"/>
          <w:szCs w:val="24"/>
        </w:rPr>
        <w:lastRenderedPageBreak/>
        <w:t>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49E9F442"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doklad definovaný v § 10 ods. 1 zákona č. 431/2002 Z. z.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2F4C6796" w:rsidR="00EE0DF4" w:rsidRPr="002256AE" w:rsidRDefault="00083609">
      <w:pPr>
        <w:spacing w:before="120" w:after="120"/>
        <w:ind w:left="426"/>
        <w:jc w:val="both"/>
      </w:pPr>
      <w:commentRangeStart w:id="18"/>
      <w:r w:rsidRPr="002256AE">
        <w:rPr>
          <w:b/>
        </w:rPr>
        <w:lastRenderedPageBreak/>
        <w:t>Udržateľnosť Projektu</w:t>
      </w:r>
      <w:r w:rsidRPr="002256AE">
        <w:t xml:space="preserve"> </w:t>
      </w:r>
      <w:r w:rsidR="00F61C24">
        <w:t xml:space="preserve">( alebo </w:t>
      </w:r>
      <w:r w:rsidR="00F61C24" w:rsidRPr="000748DF">
        <w:rPr>
          <w:b/>
        </w:rPr>
        <w:t>Obdobie udržateľnosti Projektu</w:t>
      </w:r>
      <w:r w:rsidR="00F61C24" w:rsidRPr="002256AE">
        <w:t>)</w:t>
      </w:r>
      <w:r w:rsidRPr="002256AE">
        <w:t xml:space="preserve">- </w:t>
      </w:r>
      <w:commentRangeEnd w:id="18"/>
      <w:r w:rsidRPr="002256AE">
        <w:rPr>
          <w:rStyle w:val="Odkaznakomentr"/>
          <w:sz w:val="24"/>
        </w:rPr>
        <w:commentReference w:id="18"/>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19"/>
      <w:r w:rsidRPr="002256AE">
        <w:t>Obdobie udržateľnosti Projektu trvá ............... rokov</w:t>
      </w:r>
      <w:commentRangeEnd w:id="19"/>
      <w:r w:rsidRPr="00520399">
        <w:rPr>
          <w:rStyle w:val="Odkaznakomentr"/>
          <w:sz w:val="24"/>
        </w:rPr>
        <w:commentReference w:id="19"/>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1821808E" w:rsidR="00EE0DF4" w:rsidRPr="002256AE" w:rsidRDefault="00083609">
      <w:pPr>
        <w:numPr>
          <w:ilvl w:val="0"/>
          <w:numId w:val="10"/>
        </w:numPr>
        <w:tabs>
          <w:tab w:val="clear" w:pos="1260"/>
        </w:tabs>
        <w:spacing w:before="120" w:after="120"/>
        <w:ind w:left="709" w:hanging="283"/>
        <w:jc w:val="both"/>
        <w:rPr>
          <w:bCs/>
        </w:rPr>
      </w:pPr>
      <w:commentRangeStart w:id="20"/>
      <w:r w:rsidRPr="002256AE">
        <w:t>Predmet Projektu bol riadne 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20"/>
      <w:r w:rsidRPr="002256AE">
        <w:rPr>
          <w:rStyle w:val="Odkaznakomentr"/>
          <w:sz w:val="24"/>
        </w:rPr>
        <w:commentReference w:id="20"/>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0355B056"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 splnenie podmienky Prijímateľ preukazuje</w:t>
      </w:r>
      <w:r w:rsidR="00083609" w:rsidRPr="002256AE">
        <w:t xml:space="preserve"> predložením čestného vyhlásenia Prijímateľa s uvedením dňa, ku ktorému došlo k ukončeniu poslednej hlavnej Aktivity Projektu, pričom prílohou čestného vyhlásenia je </w:t>
      </w:r>
      <w:commentRangeStart w:id="21"/>
      <w:r w:rsidR="00083609" w:rsidRPr="002256AE">
        <w:t>dokument</w:t>
      </w:r>
      <w:commentRangeEnd w:id="21"/>
      <w:r w:rsidR="00083609" w:rsidRPr="002256AE">
        <w:rPr>
          <w:rStyle w:val="Odkaznakomentr"/>
          <w:sz w:val="24"/>
          <w:lang w:val="x-none" w:eastAsia="x-none"/>
        </w:rPr>
        <w:commentReference w:id="21"/>
      </w:r>
      <w:r w:rsidR="00083609" w:rsidRPr="002256AE">
        <w:t xml:space="preserve"> odôvodňujúci ukončenie poslednej hlavnej Aktivity Projektu v deň uvedený v čestnom vyhlásení</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2"/>
      <w:r w:rsidRPr="002256AE">
        <w:t>Tým nie je dotknutá možnosť skoršieho ukončenia jednotlivých Aktivít Projektu za účelom dodržania lehôt uvedených v Prílohe č. 2 k rozhodnutiu o schválení žiadosti o NFP</w:t>
      </w:r>
      <w:commentRangeEnd w:id="22"/>
      <w:r w:rsidRPr="002256AE">
        <w:t xml:space="preserve">; </w:t>
      </w:r>
      <w:r w:rsidRPr="002256AE">
        <w:rPr>
          <w:rStyle w:val="Odkaznakomentr"/>
          <w:sz w:val="24"/>
        </w:rPr>
        <w:commentReference w:id="22"/>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72A11EFC" w:rsidR="00EE0DF4" w:rsidRPr="002256AE"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Pr="002256AE">
        <w:rPr>
          <w:sz w:val="24"/>
          <w:szCs w:val="24"/>
        </w:rPr>
        <w:t>postupy obstarávania služieb, tovarov a stavebných prác v zmysle zákona č. 25/2006 Z. z. o verejnom obstarávaní a o zmene a doplnení niektorých zákonov v znení neskorších predpisov</w:t>
      </w:r>
      <w:r w:rsidR="00D24B78" w:rsidRPr="002256AE">
        <w:rPr>
          <w:sz w:val="24"/>
          <w:szCs w:val="24"/>
        </w:rPr>
        <w:t xml:space="preserve"> s účinnosťou do 17.04.2016 alebo v zmysle zákona 343/2015 Z. z. o verejnom obstarávaní</w:t>
      </w:r>
      <w:r w:rsidRPr="002256AE">
        <w:rPr>
          <w:sz w:val="24"/>
          <w:szCs w:val="24"/>
        </w:rPr>
        <w:t xml:space="preserve"> </w:t>
      </w:r>
      <w:r w:rsidR="00D24B78" w:rsidRPr="002256AE">
        <w:rPr>
          <w:sz w:val="24"/>
          <w:szCs w:val="24"/>
        </w:rPr>
        <w:t xml:space="preserve">a o zmene a doplnení niektorých zákonov v znení neskorších predpisov </w:t>
      </w:r>
      <w:r w:rsidRPr="002256AE">
        <w:rPr>
          <w:sz w:val="24"/>
          <w:szCs w:val="24"/>
        </w:rPr>
        <w:t>(ďalej aj „zákon o VO“)</w:t>
      </w:r>
      <w:r w:rsidR="00CE7FEA">
        <w:rPr>
          <w:sz w:val="24"/>
          <w:szCs w:val="24"/>
        </w:rPr>
        <w:t>,</w:t>
      </w:r>
      <w:r w:rsidRPr="002256AE">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3031905E" w:rsidR="00EE0DF4" w:rsidRPr="00F61C24" w:rsidRDefault="00083609">
      <w:pPr>
        <w:pStyle w:val="AODefHead"/>
        <w:spacing w:before="120" w:after="120" w:line="240" w:lineRule="auto"/>
        <w:ind w:left="426"/>
        <w:rPr>
          <w:sz w:val="24"/>
          <w:szCs w:val="24"/>
        </w:rPr>
      </w:pPr>
      <w:r w:rsidRPr="00F61C24">
        <w:rPr>
          <w:b/>
          <w:sz w:val="24"/>
          <w:szCs w:val="24"/>
        </w:rPr>
        <w:t xml:space="preserve">Vládny audit </w:t>
      </w:r>
      <w:r w:rsidRPr="00F61C24">
        <w:rPr>
          <w:sz w:val="24"/>
          <w:szCs w:val="24"/>
        </w:rPr>
        <w:t>–</w:t>
      </w:r>
      <w:r w:rsidR="00B23658" w:rsidRPr="00F61C24">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8E7A90">
        <w:t>a iných aplikovateľných právnych prepisov</w:t>
      </w:r>
      <w:r w:rsidR="008E7A90" w:rsidRPr="00307126">
        <w:t xml:space="preserve"> </w:t>
      </w:r>
      <w:r w:rsidR="00B23658" w:rsidRPr="00F61C24">
        <w:rPr>
          <w:sz w:val="24"/>
          <w:szCs w:val="24"/>
        </w:rPr>
        <w:t>so zohľadnením medzinárodne uznávaných audítorských štandardov;</w:t>
      </w:r>
    </w:p>
    <w:p w14:paraId="499A5771" w14:textId="5709CC22" w:rsidR="00FB3443" w:rsidRPr="00F61C24" w:rsidRDefault="00FB3443" w:rsidP="00F61C24">
      <w:pPr>
        <w:pStyle w:val="AODefPara"/>
        <w:ind w:left="426"/>
        <w:rPr>
          <w:sz w:val="24"/>
          <w:szCs w:val="24"/>
        </w:rPr>
      </w:pPr>
      <w:r w:rsidRPr="00F61C24">
        <w:rPr>
          <w:rFonts w:eastAsia="Times New Roman"/>
          <w:b/>
          <w:color w:val="000000"/>
          <w:sz w:val="24"/>
          <w:szCs w:val="24"/>
          <w:lang w:eastAsia="sk-SK"/>
        </w:rPr>
        <w:t>Výdavky vykazované zjednodušeným spôsobom vykazovania</w:t>
      </w:r>
      <w:r w:rsidRPr="00F61C24">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lastRenderedPageBreak/>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3"/>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ex-ante kontroly, ak je takáto kontrola vzhľadom na charakter zákazky povinná, alebo</w:t>
      </w:r>
      <w:commentRangeEnd w:id="23"/>
      <w:r w:rsidR="009C726C">
        <w:rPr>
          <w:rStyle w:val="Odkaznakomentr"/>
          <w:rFonts w:eastAsia="Calibri"/>
          <w:szCs w:val="20"/>
          <w:lang w:eastAsia="sk-SK"/>
        </w:rPr>
        <w:commentReference w:id="23"/>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2F366731"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výzva na predkladanie ponúk na zverejnenie, alebo </w:t>
      </w:r>
    </w:p>
    <w:p w14:paraId="5521924C"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spustenie procesu zadávania zákazky v rámci elektronického trhoviska;</w:t>
      </w:r>
    </w:p>
    <w:p w14:paraId="03F6631A" w14:textId="421480E0"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5A9713AA" w14:textId="2C87FE28"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zákon č. 25/2006 Z. z. o verejnom obstarávaní  </w:t>
      </w:r>
      <w:r w:rsidR="00C2449D" w:rsidRPr="002256AE">
        <w:rPr>
          <w:sz w:val="24"/>
          <w:szCs w:val="24"/>
        </w:rPr>
        <w:t>alebo zákon č. 343/2015 o verejnom obstarávaní podľa toho, ktorý z týchto predpisov sa na danú skutočnosť uplatňuje</w:t>
      </w:r>
      <w:r w:rsidR="00F61C24">
        <w:rPr>
          <w:sz w:val="24"/>
          <w:szCs w:val="24"/>
        </w:rPr>
        <w:t>; v prípade, ak sa môžu uplatniť oba právne predpisy, pričom konkrétne ustanovenie je v nich označené odlišne, údaje pre zákon č. 25/2006 Z. z. sa uvádzajú v zátvorke</w:t>
      </w:r>
      <w:r w:rsidRPr="002256AE">
        <w:rPr>
          <w:sz w:val="24"/>
          <w:szCs w:val="24"/>
        </w:rPr>
        <w:t>;</w:t>
      </w:r>
    </w:p>
    <w:p w14:paraId="70DA57BE" w14:textId="77777777" w:rsidR="00EE0DF4" w:rsidRPr="002256AE" w:rsidRDefault="00083609">
      <w:pPr>
        <w:spacing w:before="120" w:after="120"/>
        <w:ind w:left="426"/>
        <w:jc w:val="both"/>
      </w:pPr>
      <w:commentRangeStart w:id="24"/>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4"/>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24"/>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w:t>
      </w:r>
      <w:r w:rsidRPr="002256AE">
        <w:lastRenderedPageBreak/>
        <w:t xml:space="preserve">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5"/>
      <w:r w:rsidRPr="002256AE">
        <w:t>Spolufinancovaný fondom</w:t>
      </w:r>
      <w:r w:rsidRPr="002256AE">
        <w:tab/>
        <w:t>:</w:t>
      </w:r>
      <w:r w:rsidRPr="002256AE">
        <w:tab/>
        <w:t>...............................................</w:t>
      </w:r>
      <w:commentRangeEnd w:id="25"/>
      <w:r w:rsidRPr="00520399">
        <w:rPr>
          <w:rStyle w:val="Odkaznakomentr"/>
          <w:sz w:val="24"/>
        </w:rPr>
        <w:commentReference w:id="25"/>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6"/>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26"/>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6"/>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lastRenderedPageBreak/>
        <w:t xml:space="preserve">: </w:t>
      </w:r>
      <w:r w:rsidRPr="002256AE">
        <w:tab/>
        <w:t>..............................................</w:t>
      </w:r>
    </w:p>
    <w:p w14:paraId="495C7CCE" w14:textId="4120108D" w:rsidR="00EE0DF4" w:rsidRPr="002256AE" w:rsidRDefault="00083609">
      <w:pPr>
        <w:tabs>
          <w:tab w:val="left" w:pos="540"/>
        </w:tabs>
        <w:spacing w:before="120" w:after="120"/>
        <w:ind w:left="426"/>
        <w:jc w:val="both"/>
      </w:pPr>
      <w:commentRangeStart w:id="27"/>
      <w:commentRangeStart w:id="28"/>
      <w:r w:rsidRPr="002256AE">
        <w:t>Použitý systém financovania</w:t>
      </w:r>
      <w:commentRangeEnd w:id="27"/>
      <w:commentRangeEnd w:id="28"/>
      <w:r w:rsidR="002B7EDD">
        <w:rPr>
          <w:rStyle w:val="Odkaznakomentr"/>
          <w:szCs w:val="20"/>
        </w:rPr>
        <w:commentReference w:id="28"/>
      </w:r>
      <w:r w:rsidRPr="002256AE">
        <w:tab/>
        <w:t xml:space="preserve">: </w:t>
      </w:r>
      <w:r w:rsidRPr="002256AE">
        <w:tab/>
        <w:t>.................................................</w:t>
      </w:r>
    </w:p>
    <w:p w14:paraId="7C2CC56C" w14:textId="72829F5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29"/>
      <w:commentRangeStart w:id="30"/>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29"/>
      <w:commentRangeEnd w:id="30"/>
      <w:r>
        <w:rPr>
          <w:rStyle w:val="Odkaznakomentr"/>
          <w:sz w:val="24"/>
        </w:rPr>
        <w:commentReference w:id="29"/>
      </w:r>
      <w:r w:rsidRPr="002256AE">
        <w:rPr>
          <w:rStyle w:val="Odkaznakomentr"/>
          <w:sz w:val="24"/>
        </w:rPr>
        <w:commentReference w:id="30"/>
      </w:r>
      <w:r w:rsidRPr="002256AE">
        <w:rPr>
          <w:rFonts w:eastAsia="SimSun"/>
          <w:lang w:eastAsia="en-US"/>
        </w:rPr>
        <w:t xml:space="preserve"> a ich následné udržanie počas doby Udržateľnosti projektu v súlade s podmienkami uvedenými v článku 71 všeobecného nariadenia a v rozhodnutí o schválení žiadosti o NFP.</w:t>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30 Nariadenia 966/2012,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verejnej správy.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w:t>
      </w:r>
      <w:r w:rsidRPr="002256AE">
        <w:rPr>
          <w:b w:val="0"/>
          <w:sz w:val="24"/>
          <w:szCs w:val="24"/>
        </w:rPr>
        <w:lastRenderedPageBreak/>
        <w:t xml:space="preserve">s Projektom od vydania rozhodnutia o schválení žiadosti o NFP (napríklad v súvislosti s kontrolou Verejného obstarávania, s kontrolou Žiadosti o platbu vykonávanou formou administratívnej kontroly), ako aj v rámci výkonu inej kontroly, </w:t>
      </w:r>
      <w:commentRangeStart w:id="31"/>
      <w:r w:rsidRPr="002256AE">
        <w:rPr>
          <w:b w:val="0"/>
          <w:sz w:val="24"/>
          <w:szCs w:val="24"/>
        </w:rPr>
        <w:t>až do skončenia Udržateľnosti Projektu</w:t>
      </w:r>
      <w:commentRangeEnd w:id="31"/>
      <w:r w:rsidRPr="00520399">
        <w:rPr>
          <w:rStyle w:val="Odkaznakomentr"/>
          <w:b w:val="0"/>
          <w:sz w:val="24"/>
        </w:rPr>
        <w:commentReference w:id="31"/>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77777777" w:rsidR="00EE0DF4" w:rsidRPr="002256AE" w:rsidRDefault="00083609">
      <w:pPr>
        <w:numPr>
          <w:ilvl w:val="0"/>
          <w:numId w:val="2"/>
        </w:numPr>
        <w:tabs>
          <w:tab w:val="clear" w:pos="900"/>
        </w:tabs>
        <w:spacing w:before="120" w:after="120"/>
        <w:ind w:left="709" w:hanging="283"/>
        <w:jc w:val="both"/>
      </w:pPr>
      <w:commentRangeStart w:id="32"/>
      <w:r w:rsidRPr="002256AE">
        <w:t>maximálna výška celkových oprávnených výdavkov pre Projekty generujúce príjem  na Realizáciu aktivít Projektu predstavuje ............ EUR (slovom ............... eur)</w:t>
      </w:r>
      <w:commentRangeEnd w:id="32"/>
      <w:r w:rsidRPr="002256AE">
        <w:rPr>
          <w:rStyle w:val="Odkaznakomentr"/>
          <w:sz w:val="24"/>
        </w:rPr>
        <w:commentReference w:id="32"/>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77777777"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euro), čo predstavuje </w:t>
      </w:r>
      <w:commentRangeStart w:id="33"/>
      <w:r w:rsidRPr="002256AE">
        <w:t>.....</w:t>
      </w:r>
      <w:commentRangeEnd w:id="33"/>
      <w:r w:rsidRPr="002256AE">
        <w:rPr>
          <w:rStyle w:val="Odkaznakomentr"/>
          <w:sz w:val="24"/>
        </w:rPr>
        <w:commentReference w:id="33"/>
      </w:r>
      <w:r w:rsidRPr="002256AE">
        <w:t xml:space="preserve"> % z </w:t>
      </w:r>
      <w:commentRangeStart w:id="34"/>
      <w:r w:rsidRPr="002256AE">
        <w:t>Celkových  oprávnených výdavkov pre Projekty generujúce príjem na Realizáciu aktivít Projektu podľa ods. 1. písm. a) /Celkových oprávnených výdavkov na Realizáciu aktivít Projektu podľa ods. 1. písm. b)</w:t>
      </w:r>
      <w:commentRangeEnd w:id="34"/>
      <w:r w:rsidRPr="002256AE">
        <w:rPr>
          <w:rStyle w:val="Odkaznakomentr"/>
          <w:sz w:val="24"/>
        </w:rPr>
        <w:commentReference w:id="34"/>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35"/>
      <w:r w:rsidRPr="002256AE">
        <w:t xml:space="preserve">Prijímateľ vyhlasuje, že: </w:t>
      </w:r>
      <w:commentRangeEnd w:id="35"/>
      <w:r w:rsidRPr="00520399">
        <w:rPr>
          <w:rStyle w:val="Odkaznakomentr"/>
          <w:sz w:val="24"/>
        </w:rPr>
        <w:commentReference w:id="35"/>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6"/>
      <w:r w:rsidRPr="002256AE">
        <w:rPr>
          <w:sz w:val="24"/>
          <w:szCs w:val="24"/>
        </w:rPr>
        <w:t xml:space="preserve">má zabezpečené zdroje financovania Projektu vo výške </w:t>
      </w:r>
      <w:commentRangeStart w:id="37"/>
      <w:r w:rsidRPr="002256AE">
        <w:rPr>
          <w:sz w:val="24"/>
          <w:szCs w:val="24"/>
        </w:rPr>
        <w:t>...... %</w:t>
      </w:r>
      <w:commentRangeEnd w:id="37"/>
      <w:r w:rsidRPr="002256AE">
        <w:rPr>
          <w:rStyle w:val="Odkaznakomentr"/>
          <w:sz w:val="24"/>
          <w:szCs w:val="24"/>
        </w:rPr>
        <w:commentReference w:id="37"/>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38"/>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38"/>
      <w:r w:rsidRPr="002256AE">
        <w:rPr>
          <w:sz w:val="24"/>
          <w:szCs w:val="24"/>
        </w:rPr>
        <w:t xml:space="preserve">rozhodnutia o schválení žiadosti o NFP </w:t>
      </w:r>
      <w:r w:rsidRPr="002256AE">
        <w:rPr>
          <w:rStyle w:val="Odkaznakomentr"/>
          <w:sz w:val="24"/>
          <w:szCs w:val="24"/>
        </w:rPr>
        <w:commentReference w:id="38"/>
      </w:r>
      <w:r w:rsidRPr="002256AE">
        <w:rPr>
          <w:sz w:val="24"/>
          <w:szCs w:val="24"/>
        </w:rPr>
        <w:t>a </w:t>
      </w:r>
      <w:commentRangeEnd w:id="36"/>
      <w:r w:rsidRPr="002256AE">
        <w:rPr>
          <w:rStyle w:val="Odkaznakomentr"/>
          <w:sz w:val="24"/>
          <w:szCs w:val="24"/>
        </w:rPr>
        <w:commentReference w:id="36"/>
      </w:r>
    </w:p>
    <w:p w14:paraId="696684F9"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9"/>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39"/>
      <w:r w:rsidRPr="002256AE">
        <w:rPr>
          <w:rStyle w:val="Odkaznakomentr"/>
          <w:sz w:val="24"/>
          <w:szCs w:val="24"/>
        </w:rPr>
        <w:commentReference w:id="39"/>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c) </w:t>
      </w:r>
      <w:r w:rsidRPr="00520399">
        <w:rPr>
          <w:sz w:val="24"/>
        </w:rPr>
        <w:commentReference w:id="40"/>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xml:space="preserve">. Prijímateľ súčasne berie na vedomie, že výška NFP na úhradu časti Oprávnených výdavkov, ktorá bude skutočne uhradená Prijímateľovi, závisí od výsledkov Prijímateľom vykonaného obstarávania </w:t>
      </w:r>
      <w:r w:rsidRPr="005C0A29">
        <w:rPr>
          <w:b w:val="0"/>
          <w:sz w:val="24"/>
          <w:szCs w:val="24"/>
        </w:rPr>
        <w:lastRenderedPageBreak/>
        <w:t>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41"/>
      <w:r w:rsidRPr="002256AE">
        <w:t>..................</w:t>
      </w:r>
      <w:commentRangeEnd w:id="41"/>
      <w:r w:rsidRPr="002256AE">
        <w:rPr>
          <w:rStyle w:val="Odkaznakomentr"/>
          <w:sz w:val="24"/>
        </w:rPr>
        <w:commentReference w:id="41"/>
      </w:r>
      <w:r w:rsidRPr="002256AE">
        <w:t xml:space="preserve">, </w:t>
      </w:r>
      <w:commentRangeStart w:id="42"/>
      <w:r w:rsidRPr="002256AE">
        <w:t xml:space="preserve">príslušnou schémou </w:t>
      </w:r>
      <w:commentRangeEnd w:id="42"/>
      <w:r w:rsidRPr="00773ECD">
        <w:rPr>
          <w:rStyle w:val="Odkaznakomentr"/>
          <w:sz w:val="24"/>
        </w:rPr>
        <w:commentReference w:id="42"/>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43"/>
      <w:commentRangeStart w:id="44"/>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43"/>
      <w:r w:rsidRPr="00520399">
        <w:rPr>
          <w:b w:val="0"/>
          <w:sz w:val="24"/>
        </w:rPr>
        <w:commentReference w:id="43"/>
      </w:r>
    </w:p>
    <w:commentRangeEnd w:id="44"/>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44"/>
      </w:r>
      <w:commentRangeStart w:id="45"/>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w:t>
      </w:r>
      <w:r w:rsidRPr="002256AE">
        <w:rPr>
          <w:b w:val="0"/>
          <w:sz w:val="24"/>
          <w:szCs w:val="24"/>
        </w:rPr>
        <w:lastRenderedPageBreak/>
        <w:t>povinnosti podľa druhej vety tohto odseku v súlade s čl. 16 VP. Povinnosti Prijímateľa uvedené v článku 6 ods. 5 VP nie sú týmto ustanovením dotknuté</w:t>
      </w:r>
      <w:commentRangeEnd w:id="45"/>
      <w:r w:rsidRPr="00520399">
        <w:rPr>
          <w:b w:val="0"/>
          <w:sz w:val="24"/>
        </w:rPr>
        <w:commentReference w:id="45"/>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46"/>
      <w:r w:rsidRPr="002256AE">
        <w:rPr>
          <w:bCs/>
        </w:rPr>
        <w:t xml:space="preserve">a Udržateľnosť </w:t>
      </w:r>
      <w:commentRangeEnd w:id="46"/>
      <w:r w:rsidRPr="00520399">
        <w:rPr>
          <w:rStyle w:val="Odkaznakomentr"/>
          <w:sz w:val="24"/>
        </w:rPr>
        <w:commentReference w:id="46"/>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47"/>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7"/>
      <w:r w:rsidRPr="002256AE">
        <w:rPr>
          <w:rStyle w:val="Odkaznakomentr"/>
          <w:sz w:val="24"/>
        </w:rPr>
        <w:commentReference w:id="47"/>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48"/>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8"/>
      <w:r w:rsidRPr="002256AE">
        <w:rPr>
          <w:rStyle w:val="Odkaznakomentr"/>
          <w:sz w:val="24"/>
        </w:rPr>
        <w:commentReference w:id="48"/>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lastRenderedPageBreak/>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49"/>
      <w:r w:rsidRPr="002256AE">
        <w:t>........</w:t>
      </w:r>
      <w:commentRangeEnd w:id="49"/>
      <w:r w:rsidRPr="002256AE">
        <w:rPr>
          <w:rStyle w:val="Odkaznakomentr"/>
          <w:sz w:val="24"/>
        </w:rPr>
        <w:commentReference w:id="49"/>
      </w:r>
      <w:r w:rsidRPr="002256AE">
        <w:t xml:space="preserve"> kalendárnych mesiacov počas Realizácie hlavných aktivít Projektu. Žiadosť o platbu               (s príznakom  záverečná) Prijímateľ predloží najneskôr </w:t>
      </w:r>
      <w:commentRangeStart w:id="50"/>
      <w:r w:rsidRPr="002256AE">
        <w:t xml:space="preserve">do troch mesiacov </w:t>
      </w:r>
      <w:commentRangeEnd w:id="50"/>
      <w:r w:rsidRPr="002256AE">
        <w:rPr>
          <w:rStyle w:val="Odkaznakomentr"/>
          <w:sz w:val="24"/>
        </w:rPr>
        <w:commentReference w:id="50"/>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51"/>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51"/>
      <w:r w:rsidRPr="002256AE">
        <w:rPr>
          <w:rStyle w:val="Odkaznakomentr"/>
          <w:sz w:val="24"/>
        </w:rPr>
        <w:commentReference w:id="51"/>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52"/>
      <w:r w:rsidRPr="002256AE">
        <w:t xml:space="preserve">Poistenie pokrývajúce poistenie majetku </w:t>
      </w:r>
      <w:commentRangeEnd w:id="52"/>
      <w:r w:rsidRPr="002256AE">
        <w:rPr>
          <w:rStyle w:val="Odkaznakomentr"/>
          <w:sz w:val="24"/>
        </w:rPr>
        <w:commentReference w:id="52"/>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lastRenderedPageBreak/>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14:paraId="04A2DF4C" w14:textId="718D60EC"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3DED77A9" w:rsidR="00F61C24" w:rsidRPr="00207450" w:rsidRDefault="00083609" w:rsidP="00F61C24">
      <w:pPr>
        <w:spacing w:before="120" w:line="264" w:lineRule="auto"/>
        <w:ind w:left="720"/>
        <w:jc w:val="both"/>
        <w:rPr>
          <w:sz w:val="22"/>
          <w:szCs w:val="22"/>
        </w:rPr>
      </w:pPr>
      <w:r w:rsidRPr="002256AE">
        <w:t xml:space="preserve">V prípade, ak zmena, ktorú Prijímateľ oznámil Poskytovateľovi podľa tohto písm. c) ako menej významnú zmenu, nie je podľa stanoviska Poskytovateľa menej významnou zmenou, </w:t>
      </w:r>
      <w:r w:rsidR="00F61C24">
        <w:rPr>
          <w:sz w:val="22"/>
          <w:szCs w:val="22"/>
        </w:rPr>
        <w:t>alebo ju Poskytovateľ nemôže akceptovať z iných riadne odôvodnených dôvodov</w:t>
      </w:r>
      <w:r w:rsidR="00F61C24" w:rsidRPr="00360B63">
        <w:rPr>
          <w:sz w:val="22"/>
        </w:rPr>
        <w:t xml:space="preserve">, </w:t>
      </w:r>
      <w:r w:rsidRPr="002256AE">
        <w:t xml:space="preserve">Poskytovateľ je oprávnený neakceptovať oznámenie Prijímateľa, ak toto svoje odôvodnené stanovisko Prijímateľovi oznámi. Ak Poskytovateľ neakceptuje oznámenie Prijímateľa podľa predchádzajúcej vety, Prijímateľ je </w:t>
      </w:r>
      <w:r w:rsidR="00F61C24">
        <w:t>oprávnený</w:t>
      </w:r>
      <w:r w:rsidR="00F61C24" w:rsidRPr="002256AE">
        <w:t xml:space="preserve"> </w:t>
      </w:r>
      <w:r w:rsidRPr="002256AE">
        <w:t>postupovať pri zmene VP iba podľa písm. d) tohto odseku</w:t>
      </w: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53"/>
      <w:r w:rsidRPr="002256AE">
        <w:t>pri ich najbližšej aktualizácii.</w:t>
      </w:r>
      <w:commentRangeEnd w:id="53"/>
      <w:r w:rsidRPr="002256AE">
        <w:rPr>
          <w:rStyle w:val="Odkaznakomentr"/>
          <w:sz w:val="24"/>
        </w:rPr>
        <w:commentReference w:id="53"/>
      </w:r>
      <w:r w:rsidRPr="002256AE">
        <w:t xml:space="preserve">. Na základe osobitnej žiadosti </w:t>
      </w:r>
      <w:r w:rsidRPr="002256AE">
        <w:lastRenderedPageBreak/>
        <w:t>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t xml:space="preserve">omeškanie </w:t>
      </w:r>
      <w:r w:rsidRPr="002256AE">
        <w:rPr>
          <w:bCs/>
          <w:sz w:val="24"/>
          <w:szCs w:val="24"/>
        </w:rPr>
        <w:t xml:space="preserve">Prijímateľa so </w:t>
      </w:r>
      <w:commentRangeStart w:id="54"/>
      <w:r w:rsidRPr="002256AE">
        <w:rPr>
          <w:bCs/>
          <w:sz w:val="24"/>
          <w:szCs w:val="24"/>
        </w:rPr>
        <w:t xml:space="preserve">Začatím realizácie hlavných aktivít Projektu </w:t>
      </w:r>
      <w:commentRangeEnd w:id="54"/>
      <w:r w:rsidRPr="002256AE">
        <w:rPr>
          <w:rStyle w:val="Odkaznakomentr"/>
          <w:sz w:val="24"/>
          <w:szCs w:val="24"/>
        </w:rPr>
        <w:commentReference w:id="54"/>
      </w:r>
      <w:r w:rsidRPr="002256AE">
        <w:rPr>
          <w:bCs/>
          <w:sz w:val="24"/>
          <w:szCs w:val="24"/>
        </w:rPr>
        <w:t>voči</w:t>
      </w:r>
      <w:r w:rsidRPr="002256AE">
        <w:rPr>
          <w:sz w:val="24"/>
          <w:szCs w:val="24"/>
        </w:rPr>
        <w:t xml:space="preserve"> termínu uvedenému 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55"/>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5"/>
      <w:r w:rsidRPr="002256AE">
        <w:rPr>
          <w:rStyle w:val="Odkaznakomentr"/>
          <w:sz w:val="24"/>
          <w:szCs w:val="24"/>
        </w:rPr>
        <w:commentReference w:id="55"/>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A2A6CBD" w14:textId="77777777" w:rsidR="00EE0DF4" w:rsidRPr="002256AE" w:rsidRDefault="00083609">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w:t>
      </w:r>
      <w:r w:rsidRPr="002256AE">
        <w:lastRenderedPageBreak/>
        <w:t>NFP a Prijímateľ je povinný vrátiť NFP alebo jeho časť v súlade s článkom 16 VP, a to vo výške, ktorá je úmerná obdobiu, počas ktorého došlo k porušeniu podmienok v dôsledku vzniku Podstatnej zmeny Projektu.</w:t>
      </w:r>
    </w:p>
    <w:p w14:paraId="689A4F05" w14:textId="4ECCA206"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6"/>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56"/>
      <w:r w:rsidRPr="002256AE">
        <w:commentReference w:id="56"/>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7"/>
      <w:r w:rsidRPr="002256AE">
        <w:t>týkajúcej sa začatia Verejného obstarávania na hlavné aktivity Projektu, ak sa s ním nezačne do 3 mesiacov od účinnosti rozhodnutia o schválení žiadosti o NFP,</w:t>
      </w:r>
      <w:commentRangeEnd w:id="57"/>
      <w:r w:rsidRPr="002256AE">
        <w:commentReference w:id="57"/>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693AF119"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2256AE" w:rsidRDefault="00083609">
      <w:pPr>
        <w:numPr>
          <w:ilvl w:val="1"/>
          <w:numId w:val="6"/>
        </w:numPr>
        <w:tabs>
          <w:tab w:val="clear" w:pos="1620"/>
          <w:tab w:val="left" w:pos="426"/>
        </w:tabs>
        <w:spacing w:before="120" w:after="120"/>
        <w:ind w:left="426" w:hanging="426"/>
        <w:jc w:val="both"/>
      </w:pPr>
      <w:commentRangeStart w:id="58"/>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609255BB"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w:t>
      </w:r>
      <w:r w:rsidRPr="002256AE">
        <w:lastRenderedPageBreak/>
        <w:t xml:space="preserve">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59"/>
      <w:r w:rsidRPr="002256AE">
        <w:t xml:space="preserve">50% </w:t>
      </w:r>
      <w:commentRangeEnd w:id="59"/>
      <w:r w:rsidR="00D54E2A">
        <w:rPr>
          <w:rStyle w:val="Odkaznakomentr"/>
          <w:szCs w:val="20"/>
        </w:rPr>
        <w:commentReference w:id="59"/>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r w:rsidR="00F61C24">
        <w:t xml:space="preserve">cieľovej hodnoty </w:t>
      </w:r>
      <w:r w:rsidRPr="002256AE">
        <w:t xml:space="preserve">jednotlivého Merateľného ukazovateľa Projektu s príznakom o viac ako </w:t>
      </w:r>
      <w:commentRangeStart w:id="60"/>
      <w:r w:rsidRPr="002256AE">
        <w:t xml:space="preserve">50% </w:t>
      </w:r>
      <w:commentRangeEnd w:id="60"/>
      <w:r w:rsidR="00D54E2A">
        <w:rPr>
          <w:rStyle w:val="Odkaznakomentr"/>
          <w:szCs w:val="20"/>
        </w:rPr>
        <w:commentReference w:id="60"/>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60180D0A"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61"/>
      <w:r w:rsidR="00F61C24" w:rsidRPr="000748DF">
        <w:t>20%</w:t>
      </w:r>
      <w:commentRangeEnd w:id="61"/>
      <w:r w:rsidR="00F61C24" w:rsidRPr="005C0A29">
        <w:rPr>
          <w:rStyle w:val="Odkaznakomentr"/>
          <w:sz w:val="24"/>
        </w:rPr>
        <w:commentReference w:id="61"/>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58"/>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58"/>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 xml:space="preserve">Projektu. Ak zmena Projektu, ktorá mení povahu činnosti alebo podmienky jej vykonávania, má určitý </w:t>
      </w:r>
      <w:r w:rsidRPr="002256AE">
        <w:lastRenderedPageBreak/>
        <w:t>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77777777"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t xml:space="preserve">hlavných aktivít Projektu do schválenia žiadosti o predĺženie doby Realizácie </w:t>
      </w:r>
      <w:r w:rsidRPr="002256AE">
        <w:br/>
      </w:r>
      <w:r w:rsidRPr="002256AE">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3B7D4C7" w:rsidR="00EE0DF4" w:rsidRPr="002256AE" w:rsidRDefault="00083609">
      <w:pPr>
        <w:numPr>
          <w:ilvl w:val="1"/>
          <w:numId w:val="6"/>
        </w:numPr>
        <w:tabs>
          <w:tab w:val="clear" w:pos="1620"/>
        </w:tabs>
        <w:spacing w:before="120" w:after="120"/>
        <w:ind w:left="426" w:hanging="426"/>
        <w:jc w:val="both"/>
      </w:pPr>
      <w:r w:rsidRPr="002256AE">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a  audite. Žiadosť o zmenu, podávaná v zmysle tohto odseku, sa vzťahuje na nasledovné prípady významnejších zmien:</w:t>
      </w:r>
    </w:p>
    <w:p w14:paraId="35B96EF6" w14:textId="2D78D284"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0F30DC0F"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alebo </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lastRenderedPageBreak/>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t xml:space="preserve">Právne účinky vo vzťahu k oprávnenosti výdavkov súvisiacich so zmenou Projektu nastanú: </w:t>
      </w:r>
    </w:p>
    <w:p w14:paraId="1BE2124C" w14:textId="14132EA1"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menej významnej zmene, ktorú Poskytovateľ akceptuje podľa odseku 2 písmeno </w:t>
      </w:r>
      <w:r>
        <w:t>c</w:t>
      </w:r>
      <w:r w:rsidRPr="000748DF">
        <w:t xml:space="preserve">) tohto článku, v deň, kedy zmena skutočne vznikla, </w:t>
      </w:r>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22B4BA23"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ante (významnejšie zmeny podľa odseku 3 tohto článku) v deň predloženia žiadosti o zmenu zo strany Prijímateľa Poskytovateľovi, ak bola zmena schválená, alebo v neskorší deň vyplývajúci zo schválenia žiadosti o zmenu, </w:t>
      </w:r>
    </w:p>
    <w:p w14:paraId="30AAFE1C" w14:textId="111B76AE" w:rsidR="00F61C24" w:rsidRPr="000748DF" w:rsidRDefault="00F61C24" w:rsidP="00520399">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post (významnejšie zmeny podľa odseku </w:t>
      </w:r>
      <w:r>
        <w:t>8</w:t>
      </w:r>
      <w:r w:rsidRPr="000748DF">
        <w:t xml:space="preserve"> tohto článku) v 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lastRenderedPageBreak/>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62"/>
      <w:r w:rsidRPr="002256AE">
        <w:rPr>
          <w:bCs/>
        </w:rPr>
        <w:t>Ak nastane Podstatná zmena podmienok pre projekty generujúce príjem počas monitorovania čistých príjmov v súlade s článkom 61 ods. 4 všeobecného nariadenia a súčasne:</w:t>
      </w:r>
      <w:commentRangeEnd w:id="62"/>
      <w:r w:rsidRPr="002256AE">
        <w:rPr>
          <w:rStyle w:val="Odkaznakomentr"/>
          <w:sz w:val="24"/>
        </w:rPr>
        <w:commentReference w:id="62"/>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6076F793" w:rsidR="00E22B49" w:rsidRPr="00520399" w:rsidRDefault="00083609" w:rsidP="00520399">
      <w:pPr>
        <w:spacing w:before="120" w:line="264" w:lineRule="auto"/>
        <w:ind w:left="540" w:hanging="540"/>
        <w:jc w:val="both"/>
        <w:rPr>
          <w:sz w:val="22"/>
        </w:rPr>
      </w:pPr>
      <w:r w:rsidRPr="002256AE">
        <w:t xml:space="preserve">1. </w:t>
      </w:r>
      <w:r w:rsidRPr="002256AE">
        <w:tab/>
        <w:t xml:space="preserve">Strany sú povinné pri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4.2 tohto článku.</w:t>
      </w:r>
    </w:p>
    <w:p w14:paraId="099762FD" w14:textId="020FA3FD" w:rsidR="00EE0DF4" w:rsidRPr="002256AE" w:rsidRDefault="00E22B49">
      <w:pPr>
        <w:spacing w:before="120" w:after="120"/>
        <w:ind w:left="426" w:hanging="426"/>
        <w:jc w:val="both"/>
      </w:pPr>
      <w:r w:rsidRPr="002256AE">
        <w:t xml:space="preserve">2. </w:t>
      </w:r>
      <w:r w:rsidRPr="002256AE">
        <w:tab/>
      </w:r>
      <w:r>
        <w:t>K</w:t>
      </w:r>
      <w:r w:rsidRPr="002256AE">
        <w:t xml:space="preserve">omunikácia medzi Stranami </w:t>
      </w:r>
      <w:r>
        <w:t>môže</w:t>
      </w:r>
      <w:r w:rsidRPr="002256AE">
        <w:t xml:space="preserve"> prebiehať </w:t>
      </w:r>
      <w:r>
        <w:t>alternatívne</w:t>
      </w:r>
      <w:r w:rsidRPr="002256AE">
        <w:t xml:space="preserve"> v elektronickej</w:t>
      </w:r>
      <w:r>
        <w:t xml:space="preserve"> podobe</w:t>
      </w:r>
      <w:r w:rsidRPr="002256AE">
        <w:t xml:space="preserve">, </w:t>
      </w:r>
      <w:r w:rsidRPr="008A3544">
        <w:rPr>
          <w:sz w:val="22"/>
          <w:szCs w:val="22"/>
        </w:rPr>
        <w:t xml:space="preserve">a to najmä v prípade </w:t>
      </w:r>
      <w:r>
        <w:rPr>
          <w:sz w:val="22"/>
          <w:szCs w:val="22"/>
        </w:rPr>
        <w:t>bežne</w:t>
      </w:r>
      <w:r w:rsidRPr="008A3544">
        <w:rPr>
          <w:sz w:val="22"/>
          <w:szCs w:val="22"/>
        </w:rPr>
        <w:t>j komunikácie prostredníctvom elektronickej správy (e-mailu), v ostatných prípadoch prostredníctvom ITMS 2014+ alebo prostredníctvom Ústredného portálu verejnej správy</w:t>
      </w:r>
      <w:r w:rsidR="00676988">
        <w:rPr>
          <w:sz w:val="22"/>
          <w:szCs w:val="22"/>
        </w:rPr>
        <w:t>.</w:t>
      </w:r>
      <w:r>
        <w:rPr>
          <w:sz w:val="22"/>
          <w:szCs w:val="22"/>
        </w:rPr>
        <w:t xml:space="preserve"> Elektronická komunikácia prostredníctvom </w:t>
      </w:r>
      <w:r w:rsidRPr="00AD0F62">
        <w:rPr>
          <w:sz w:val="22"/>
          <w:szCs w:val="22"/>
        </w:rPr>
        <w:t>ITMS</w:t>
      </w:r>
      <w:r>
        <w:rPr>
          <w:sz w:val="22"/>
          <w:szCs w:val="22"/>
        </w:rPr>
        <w:t xml:space="preserve">2014+ predstavuje aj </w:t>
      </w:r>
      <w:r w:rsidRPr="00AD0F62">
        <w:rPr>
          <w:sz w:val="22"/>
          <w:szCs w:val="22"/>
        </w:rPr>
        <w:t>podporný spôsob k písomnej komunikácii</w:t>
      </w:r>
      <w:r>
        <w:rPr>
          <w:sz w:val="22"/>
          <w:szCs w:val="22"/>
        </w:rPr>
        <w:t xml:space="preserve"> v listinnej podobe.</w:t>
      </w:r>
      <w:r w:rsidRPr="00520399">
        <w:rPr>
          <w:sz w:val="22"/>
        </w:rPr>
        <w:t xml:space="preserve"> </w:t>
      </w:r>
      <w:r w:rsidR="00083609" w:rsidRPr="002256AE">
        <w:t>Prijímateľ je povinný riadiť sa usmernením týkajúcim sa komunikácie, ktoré po splnení všetkých technických podmienok pre zavedenie elektronickej komunikácie ako preferovaného spôsobu komunikácie Strán, vydá Poskytovateľ.</w:t>
      </w:r>
    </w:p>
    <w:p w14:paraId="0FBD3212" w14:textId="34A075A3" w:rsidR="00EE0DF4" w:rsidRPr="002256AE" w:rsidRDefault="00083609">
      <w:pPr>
        <w:spacing w:before="120" w:after="120"/>
        <w:ind w:left="426" w:hanging="426"/>
        <w:jc w:val="both"/>
      </w:pPr>
      <w:r w:rsidRPr="002256AE">
        <w:t xml:space="preserve">3. </w:t>
      </w:r>
      <w:r w:rsidRPr="002256AE">
        <w:tab/>
        <w:t xml:space="preserve">Poskytovateľ môže určiť, že </w:t>
      </w:r>
      <w:r w:rsidR="00F61C24">
        <w:t xml:space="preserve">bežná </w:t>
      </w:r>
      <w:r w:rsidRPr="002256AE">
        <w:t>komunikácia Strán v súvislosti s Projektom bude prebiehať elektronicky prostredníctvom emailu a zároveň môže určiť aj</w:t>
      </w:r>
      <w:r w:rsidR="00676988">
        <w:t xml:space="preserve"> </w:t>
      </w:r>
      <w:r w:rsidRPr="002256AE">
        <w:t xml:space="preserve">podmienky takejto komunikácie. Aj v rámci týchto foriem komunikácie je Prijímateľ povinný uvádzať ITMS kód Projektu a názov Projektu podľa článku 2 ods. 1. VP. </w:t>
      </w:r>
    </w:p>
    <w:p w14:paraId="68368BD1" w14:textId="0ACDC882"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 xml:space="preserve">správy z kontroly je doručovaný osobným prevzatím alebo poštou prostredníctvom doporučenej zásielky s doručenkou s  úložnou (odbernou) lehotou </w:t>
      </w:r>
      <w:commentRangeStart w:id="63"/>
      <w:commentRangeStart w:id="64"/>
      <w:r w:rsidRPr="002256AE">
        <w:t>3 kalendárne dni</w:t>
      </w:r>
      <w:commentRangeEnd w:id="63"/>
      <w:commentRangeEnd w:id="64"/>
      <w:r>
        <w:commentReference w:id="63"/>
      </w:r>
      <w:r w:rsidRPr="002256AE">
        <w:commentReference w:id="64"/>
      </w:r>
      <w:r w:rsidRPr="002256AE">
        <w:t>.</w:t>
      </w:r>
    </w:p>
    <w:p w14:paraId="0F239B14" w14:textId="5C317135" w:rsidR="00E22B49" w:rsidRDefault="00E22B49" w:rsidP="00E22B49">
      <w:pPr>
        <w:spacing w:before="120" w:after="120"/>
        <w:ind w:left="426" w:hanging="426"/>
        <w:jc w:val="both"/>
        <w:rPr>
          <w:bCs/>
        </w:rPr>
      </w:pPr>
      <w:r>
        <w:lastRenderedPageBreak/>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28120AC5" w14:textId="77777777" w:rsidR="00E22B49" w:rsidRPr="001B6D2D" w:rsidRDefault="00E22B49" w:rsidP="00E22B49">
      <w:pPr>
        <w:spacing w:before="120" w:after="120"/>
        <w:ind w:left="426" w:hanging="426"/>
        <w:jc w:val="both"/>
      </w:pPr>
    </w:p>
    <w:p w14:paraId="0F035D6B" w14:textId="77777777" w:rsidR="00E22B49" w:rsidRPr="002256AE" w:rsidRDefault="00E22B49">
      <w:pPr>
        <w:spacing w:before="120" w:after="120"/>
        <w:ind w:left="426" w:hanging="426"/>
        <w:jc w:val="both"/>
      </w:pP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3DCF3C9D" w:rsidR="00EE0DF4" w:rsidRPr="002256AE" w:rsidRDefault="00083609">
      <w:pPr>
        <w:numPr>
          <w:ilvl w:val="1"/>
          <w:numId w:val="32"/>
        </w:numPr>
        <w:tabs>
          <w:tab w:val="clear" w:pos="540"/>
        </w:tabs>
        <w:spacing w:before="120" w:after="120"/>
        <w:ind w:left="426" w:hanging="426"/>
        <w:jc w:val="both"/>
      </w:pPr>
      <w:r w:rsidRPr="002256AE">
        <w:t>Prijímateľ je povinný postupovať pri zadávaní zákaziek na dodanie služieb, tovarov                    a  stavebných prác potrebných pre Realizáciu aktivít Projektu ako aj pri zmenách týchto zákaziek v súlade so zákonom o</w:t>
      </w:r>
      <w:r w:rsidR="00F61C24">
        <w:t> </w:t>
      </w:r>
      <w:r w:rsidRPr="002256AE">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t>§ 117 zákona o VO (</w:t>
      </w:r>
      <w:r w:rsidRPr="002256AE">
        <w:t>§</w:t>
      </w:r>
      <w:r w:rsidR="00B1724C">
        <w:t xml:space="preserve"> </w:t>
      </w:r>
      <w:r w:rsidRPr="002256AE">
        <w:t>9 ods. 9</w:t>
      </w:r>
      <w:r w:rsidR="00F61C24">
        <w:t>)</w:t>
      </w:r>
      <w:r w:rsidRPr="002256AE">
        <w:t xml:space="preserve"> postupovať spôsobom upraveným v kapitole 3.3.7.2Systému riadenia EŠIF</w:t>
      </w:r>
      <w:r w:rsidR="00F61C24">
        <w:t xml:space="preserve"> (Systém riadenia EŠIF, verzia 3 pre zákazky podľa zák. č. 25/2006 Z. z.)</w:t>
      </w:r>
      <w:r w:rsidRPr="002256AE">
        <w:t xml:space="preserve">. Prijímateľ je povinný postupovať pri zadávaní zákaziek v hodnote nad </w:t>
      </w:r>
      <w:r w:rsidR="00B1724C">
        <w:t>1</w:t>
      </w:r>
      <w:r w:rsidRPr="002256AE">
        <w:t xml:space="preserve">5000 €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AF35222" w14:textId="188BAB34" w:rsidR="00EE0DF4" w:rsidRPr="002256AE" w:rsidRDefault="00083609">
      <w:pPr>
        <w:numPr>
          <w:ilvl w:val="1"/>
          <w:numId w:val="32"/>
        </w:numPr>
        <w:tabs>
          <w:tab w:val="clear" w:pos="540"/>
        </w:tabs>
        <w:spacing w:before="120" w:after="120"/>
        <w:ind w:left="426" w:hanging="426"/>
        <w:jc w:val="both"/>
      </w:pPr>
      <w:r w:rsidRPr="002256AE">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rsidRPr="002256AE">
        <w:br/>
      </w:r>
      <w:r w:rsidRPr="002256AE">
        <w:br/>
        <w:t xml:space="preserve">predchádzajúcej vety v lehotách a vo forme určenej v Systéme riadenia EŠIF,                         </w:t>
      </w:r>
      <w:r w:rsidRPr="002256AE">
        <w:lastRenderedPageBreak/>
        <w:t>ak Poskytovateľ neurčí inak. Dokumentáciu Prijímateľ predkladá písomne</w:t>
      </w:r>
      <w:r w:rsidR="00F61C24">
        <w:t xml:space="preserve"> alebo v elektronickej podobe</w:t>
      </w:r>
      <w:r w:rsidRPr="002256AE">
        <w:t xml:space="preserve">, pričom časť dokumentácie predkladá aj cez ITMS2014+. Minimálny rozsah dokumentácie, ktorú Prijímateľ povinne predkladá cez ITMS 2014+ je definovaný rozsahom dokumentácie zverejňovanej v profile podľa § </w:t>
      </w:r>
      <w:r w:rsidR="00F61C24">
        <w:t>64 zákona o VO (</w:t>
      </w:r>
      <w:r w:rsidRPr="002256AE">
        <w:t xml:space="preserve">49a </w:t>
      </w:r>
      <w:r w:rsidR="00F61C24">
        <w:t> )</w:t>
      </w:r>
      <w:r w:rsidRPr="002256AE">
        <w:t xml:space="preserve"> v závislosti od hodnoty a typu zákazky, pričom uvedená povinnosť platí pre všetkých prijímateľov</w:t>
      </w:r>
      <w:r w:rsidR="00F61C24">
        <w:t xml:space="preserve"> </w:t>
      </w:r>
      <w:r w:rsidR="00F61C24" w:rsidRPr="008E0529">
        <w:t>(pozn. uvedená povinnosť platí pre všetkých prijímateľov a nevzťahuje sa na informácie podľa § 64 odsek 1 písmeno d) a písmeno e) zákona o VO). V prípade ponúk jednotlivých uchádzačov sa cez ITMS 2014+ predkladá iba ponuka uchádzača, ktorý bol vyhodnotený ako úspešný. 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Pri dopĺňaní dokumentácie na výkon </w:t>
      </w:r>
      <w:r w:rsidR="00F61C24">
        <w:t xml:space="preserve">finančnej </w:t>
      </w:r>
      <w:r w:rsidRPr="002256AE">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0927AF5A" w14:textId="5D6DE990" w:rsidR="00CE052D" w:rsidRPr="00DD457A" w:rsidRDefault="00083609" w:rsidP="00520399">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xml:space="preserve">(§ 7)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t xml:space="preserve">finančnej </w:t>
      </w:r>
      <w:r w:rsidRPr="002256AE">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 xml:space="preserve">a postupov stanovených v zákone o VO, resp. postupov pri obstaraní zákazky, na ktorú sa zákon o VO 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xml:space="preserve">, </w:t>
      </w:r>
      <w:r w:rsidRPr="00DD457A">
        <w:lastRenderedPageBreak/>
        <w:t xml:space="preserve">spočívajúcu v porušení právnych predpisov a/alebo pravidiel pre poskytovanie pomoci z EŠIF v súvislosti s VO, porušením princípov a postupu VO stanovených v zákone o VO alebo vyplývajúcich z legislatívy EÚ k problematike VO alebo z </w:t>
      </w:r>
      <w:commentRangeStart w:id="65"/>
      <w:r w:rsidRPr="00DD457A">
        <w:t xml:space="preserve">obvyklej praxe (best practice) </w:t>
      </w:r>
      <w:commentRangeEnd w:id="65"/>
      <w:r w:rsidRPr="00DD457A">
        <w:commentReference w:id="65"/>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uplatnení postupu podľa § 41 alebo 41a zákona o príspevku z EŠIF </w:t>
      </w:r>
      <w:r w:rsidR="002B0D72" w:rsidRPr="00DD457A">
        <w:t xml:space="preserve">alebo </w:t>
      </w:r>
      <w:r w:rsidRPr="00DD457A">
        <w:t xml:space="preserve">aj v prípade, ak nedôjde k aplikácii postupu podľa  § 41 </w:t>
      </w:r>
      <w:r w:rsidR="00F61C24" w:rsidRPr="00DD457A">
        <w:t xml:space="preserve">alebo § 41a </w:t>
      </w:r>
      <w:r w:rsidRPr="00DD457A">
        <w:t>zákona o príspevku z EŠIF.</w:t>
      </w:r>
      <w:r w:rsidR="00CE052D" w:rsidRPr="00DD457A">
        <w:t xml:space="preserve"> </w:t>
      </w:r>
      <w:r w:rsidR="002B0D72" w:rsidRPr="00360B63">
        <w:t>Vznik uvedeného záväzku Prijímateľa je podmienený tým, že Prijímateľ bol v kontrole/audite/overovaní podľa predchádzajúcej vety</w:t>
      </w:r>
      <w:r w:rsidR="002B0D72" w:rsidRPr="00DD457A">
        <w:t xml:space="preserve"> </w:t>
      </w:r>
      <w:r w:rsidR="002B0D72" w:rsidRPr="00360B63">
        <w:t>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p>
    <w:p w14:paraId="23A2B5E6" w14:textId="0B3B9DF6" w:rsidR="00EE0DF4" w:rsidRPr="002256AE" w:rsidRDefault="00EE0DF4" w:rsidP="00360B63">
      <w:pPr>
        <w:spacing w:before="120" w:after="120"/>
        <w:ind w:left="426"/>
        <w:jc w:val="both"/>
      </w:pPr>
    </w:p>
    <w:p w14:paraId="1E907D0B" w14:textId="199215F7" w:rsidR="00F61C24" w:rsidRPr="008E0529" w:rsidRDefault="00083609" w:rsidP="00520399">
      <w:pPr>
        <w:numPr>
          <w:ilvl w:val="1"/>
          <w:numId w:val="32"/>
        </w:numPr>
        <w:spacing w:before="120" w:line="264" w:lineRule="auto"/>
        <w:jc w:val="both"/>
      </w:pPr>
      <w:r w:rsidRPr="002256AE">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Minimálny rozsah dokumentácie, ktorú prijímateľ povinne predkladá cez ITMS 2014+ je definovaný v príslušnej príručke pre prijímateľa, ktorú vydáva RO/SO.</w:t>
      </w:r>
    </w:p>
    <w:p w14:paraId="34290056" w14:textId="786D194C" w:rsidR="00EE0DF4" w:rsidRPr="002256AE" w:rsidRDefault="00083609" w:rsidP="000748DF">
      <w:pPr>
        <w:spacing w:before="120" w:after="120"/>
        <w:ind w:left="426"/>
        <w:jc w:val="both"/>
      </w:pPr>
      <w:r w:rsidRPr="002256AE">
        <w:t xml:space="preserve">. </w:t>
      </w:r>
    </w:p>
    <w:p w14:paraId="23FEBD88" w14:textId="3D89339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r>
        <w:t xml:space="preserve">Prvú </w:t>
      </w:r>
      <w:r w:rsidR="00083609" w:rsidRPr="002256AE">
        <w:t>ex-ante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r>
        <w:t xml:space="preserve">Druhú </w:t>
      </w:r>
      <w:r w:rsidR="00083609" w:rsidRPr="002256AE">
        <w:t>ex-ante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r w:rsidR="00083609" w:rsidRPr="002256AE">
        <w:t>ex-post  kontrolu,</w:t>
      </w:r>
    </w:p>
    <w:p w14:paraId="4E480BED" w14:textId="522DD16E"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p>
    <w:p w14:paraId="3CFE68ED" w14:textId="42C840C7"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r>
        <w:t xml:space="preserve">Štandardnú </w:t>
      </w:r>
      <w:r w:rsidR="00083609" w:rsidRPr="002256AE">
        <w:t>ex-post kontrolu,</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6D01941C" w:rsidR="00F61C24" w:rsidRPr="008E0529" w:rsidRDefault="00F61C24" w:rsidP="00F61C24">
      <w:pPr>
        <w:numPr>
          <w:ilvl w:val="1"/>
          <w:numId w:val="32"/>
        </w:numPr>
        <w:spacing w:before="120" w:line="264" w:lineRule="auto"/>
        <w:jc w:val="both"/>
      </w:pPr>
      <w:r w:rsidRPr="008E0529">
        <w:t xml:space="preserve">V prípade druhej ex-ante kontroly je v kapitole 3.3.7.2.2 Systému riadenia EŠIF osobitne upravená spolupráca s ÚVO v nadväznosti na ustanovenie § 169 odsek 2 zákona o VO. Prijímateľ je povinný doručiť </w:t>
      </w:r>
      <w:r w:rsidR="00D54E2A">
        <w:t>P</w:t>
      </w:r>
      <w:r w:rsidRPr="008E0529">
        <w:t xml:space="preserve">oskytovateľovi kópiu právoplatného rozhodnutia ÚVO. V </w:t>
      </w:r>
      <w:r w:rsidRPr="008E0529">
        <w:lastRenderedPageBreak/>
        <w:t xml:space="preserve">prípade, že </w:t>
      </w:r>
      <w:r w:rsidR="00D54E2A">
        <w:t>P</w:t>
      </w:r>
      <w:r w:rsidRPr="008E0529">
        <w:t xml:space="preserve">rijímateľ podal proti rozhodnutiu ÚVO odvolanie, zasiela na vedomie </w:t>
      </w:r>
      <w:r w:rsidR="00D54E2A">
        <w:t>P</w:t>
      </w:r>
      <w:r w:rsidRPr="008E0529">
        <w:t xml:space="preserve">oskytovateľovi spolu s kópiou právoplatného rozhodnutia ÚVO, resp. Rady ÚVO aj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p>
    <w:p w14:paraId="62AEAD9A" w14:textId="71D68E2B"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66"/>
      <w:r w:rsidRPr="002256AE">
        <w:t xml:space="preserve">iných nevyhnutných úkonov </w:t>
      </w:r>
      <w:commentRangeEnd w:id="66"/>
      <w:r w:rsidRPr="002256AE">
        <w:commentReference w:id="66"/>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77777777" w:rsidR="00EE0DF4" w:rsidRPr="002256AE" w:rsidRDefault="00083609">
      <w:pPr>
        <w:pStyle w:val="Odsekzoznamu1"/>
        <w:numPr>
          <w:ilvl w:val="0"/>
          <w:numId w:val="34"/>
        </w:numPr>
        <w:spacing w:before="120" w:after="120"/>
        <w:ind w:left="709" w:hanging="283"/>
        <w:contextualSpacing w:val="0"/>
        <w:jc w:val="both"/>
      </w:pPr>
      <w:r w:rsidRPr="002256AE">
        <w:t>pripustiť výdavky vzniknuté z 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77777777"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2256AE" w:rsidRDefault="00083609">
      <w:pPr>
        <w:pStyle w:val="Odsekzoznamu1"/>
        <w:numPr>
          <w:ilvl w:val="0"/>
          <w:numId w:val="34"/>
        </w:numPr>
        <w:spacing w:before="120" w:after="120"/>
        <w:ind w:left="709" w:hanging="283"/>
        <w:contextualSpacing w:val="0"/>
        <w:jc w:val="both"/>
      </w:pPr>
      <w:r w:rsidRPr="002256AE">
        <w:lastRenderedPageBreak/>
        <w:t>udeliť finančnú opravu na výdavky vzniknuté z obstarávania služieb, tovarov                     a stavebných prác pred pripustením časti výdavkov do financovania (ex-ante finančná oprava),</w:t>
      </w:r>
    </w:p>
    <w:p w14:paraId="3D329D78" w14:textId="369462E0" w:rsidR="00EE0DF4" w:rsidRPr="002256AE" w:rsidRDefault="00083609">
      <w:pPr>
        <w:pStyle w:val="Odsekzoznamu1"/>
        <w:numPr>
          <w:ilvl w:val="0"/>
          <w:numId w:val="34"/>
        </w:numPr>
        <w:spacing w:before="120" w:after="120"/>
        <w:ind w:left="709" w:hanging="283"/>
        <w:contextualSpacing w:val="0"/>
        <w:jc w:val="both"/>
      </w:pPr>
      <w:r w:rsidRPr="002256AE">
        <w:t xml:space="preserve">udeliť finančnú opravu na výdavky vzniknuté z obstarávania služieb, tovarov                      a stavebných prác  po tom, ako boli tieto výdavky uhradené zo strany Poskytovateľa Prijímateľovi (ex-post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0492C95B"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14:paraId="7EC0B8CA" w14:textId="4B856CA3"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ex-ante kontroly pred vyhlásením VO uvedené v kapitole 3.3.7</w:t>
      </w:r>
      <w:r w:rsidR="00F61C24">
        <w:t>.2.1</w:t>
      </w:r>
      <w:r w:rsidR="00D54E2A">
        <w:t xml:space="preserve">Systému riadenia EŠIF </w:t>
      </w:r>
      <w:r w:rsidR="00F61C24">
        <w:t>Prvá ex ante kontrola po podpise zmluvy o NFP</w:t>
      </w:r>
      <w:r w:rsidRPr="002256AE">
        <w:t>, ovplyvňuje možnosť určenia ex-ante finančnej opravy.</w:t>
      </w:r>
      <w:r w:rsidR="00D54E2A">
        <w:t xml:space="preserve"> </w:t>
      </w:r>
      <w:r w:rsidRPr="002256AE">
        <w:t>Zároveň</w:t>
      </w:r>
      <w:r w:rsidRPr="002256AE">
        <w:br/>
      </w:r>
      <w:r w:rsidRPr="002256AE">
        <w:br/>
        <w:t>Prijímateľ berie na vedomie, že potvrdenie ex-ante finančnej opravy zo strany Poskytovateľa je viazané na splnenie všetkých požiadaviek, ktoré sú Poskytovateľom určené.</w:t>
      </w:r>
    </w:p>
    <w:p w14:paraId="427E2753" w14:textId="77777777"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8A57EEE"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strany RO</w:t>
      </w:r>
      <w:r w:rsidRPr="006B3191">
        <w:t>, resp. skôr ako bude potvrdená ex-ante finančná oprava.</w:t>
      </w:r>
    </w:p>
    <w:p w14:paraId="38707C08" w14:textId="77777777" w:rsidR="00F61C24" w:rsidRPr="000748DF" w:rsidRDefault="00F61C24" w:rsidP="00F61C24">
      <w:pPr>
        <w:numPr>
          <w:ilvl w:val="1"/>
          <w:numId w:val="32"/>
        </w:numPr>
        <w:spacing w:before="120" w:line="264" w:lineRule="auto"/>
        <w:jc w:val="both"/>
      </w:pPr>
      <w:r w:rsidRPr="000748DF">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0748DF">
          <w:t>109 a</w:t>
        </w:r>
      </w:smartTag>
      <w:r w:rsidRPr="000748DF">
        <w:t xml:space="preserve"> § 110 zákona o VO, tak Zmluva medzi Prijímateľom a Dodávateľom nadobúda účinnosť v súlade s článkom IV., 2. časti </w:t>
      </w:r>
      <w:r w:rsidRPr="000748DF">
        <w:lastRenderedPageBreak/>
        <w:t xml:space="preserve">Obchodných podmienok elektronického trhoviska. Prijímateľ berie na vedomie, že postup zadávania zákazky s využitím elektronického trhoviska bude predmetom finančnej kontroly zo strany Poskytovateľa. </w:t>
      </w:r>
    </w:p>
    <w:p w14:paraId="27602B4E" w14:textId="7DDB08E0"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02D80C88"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77777777"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613F78B7"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lastRenderedPageBreak/>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AD9F6B9"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r w:rsidR="00F61C24">
        <w:t>finančnej</w:t>
      </w:r>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61C24">
        <w:t xml:space="preserve"> v príslušnej verzii</w:t>
      </w:r>
      <w:r w:rsidRPr="002256AE">
        <w:t xml:space="preserve">,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t>opravy</w:t>
      </w:r>
      <w:r w:rsidRPr="002256AE">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77777777" w:rsidR="00F61C24" w:rsidRDefault="00F61C24" w:rsidP="00F61C24">
      <w:pPr>
        <w:numPr>
          <w:ilvl w:val="1"/>
          <w:numId w:val="32"/>
        </w:numPr>
        <w:spacing w:before="120" w:line="264" w:lineRule="auto"/>
        <w:jc w:val="both"/>
      </w:pPr>
      <w:r w:rsidRPr="00324EB2">
        <w:t xml:space="preserve">V prípade uplatnenia ex ante finančných opráv za porušenie pravidiel a postupov VO je </w:t>
      </w:r>
      <w:r w:rsidRPr="008E0529">
        <w:t>prijímateľ povinný deklarovať 100 % hodnoty výdavku, ktorá bude až na úrovni riadiaceho orgánu/sprostredkovateľského orgánu znížená o zodpovedajúcu výšku finančnej opravy</w:t>
      </w:r>
      <w:r>
        <w:t>.</w:t>
      </w:r>
    </w:p>
    <w:p w14:paraId="147D7B4F" w14:textId="65A19394"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obstarávania, spolu s určením percentuálnej výšky finančnej opravy prislúchajúcej konkrétnemu porušeniu, podľa ktorého postupuje Poskytovateľ pri určení finančnej opravy a ex-ante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11FCA053" w:rsidR="00EE0DF4" w:rsidRDefault="00083609">
      <w:pPr>
        <w:numPr>
          <w:ilvl w:val="1"/>
          <w:numId w:val="32"/>
        </w:numPr>
        <w:tabs>
          <w:tab w:val="clear" w:pos="540"/>
        </w:tabs>
        <w:spacing w:before="120" w:after="120"/>
        <w:ind w:left="426" w:hanging="426"/>
        <w:jc w:val="both"/>
      </w:pPr>
      <w:r w:rsidRPr="002256AE">
        <w:t xml:space="preserve">Ak v súlade s </w:t>
      </w:r>
      <w:commentRangeStart w:id="67"/>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67"/>
      <w:r w:rsidRPr="002256AE">
        <w:commentReference w:id="67"/>
      </w:r>
      <w:r w:rsidRPr="002256AE">
        <w:t xml:space="preserve"> </w:t>
      </w:r>
      <w:commentRangeStart w:id="68"/>
      <w:r w:rsidRPr="002256AE">
        <w:t xml:space="preserve">v spojení s § </w:t>
      </w:r>
      <w:r w:rsidR="00B92BB9" w:rsidRPr="002256AE">
        <w:t>8</w:t>
      </w:r>
      <w:r w:rsidRPr="002256AE">
        <w:t xml:space="preserve"> zákona o finančnej kontrole</w:t>
      </w:r>
      <w:commentRangeEnd w:id="68"/>
      <w:r w:rsidRPr="002256AE">
        <w:commentReference w:id="68"/>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Pr="002256AE" w:rsidRDefault="00FB3443">
      <w:pPr>
        <w:numPr>
          <w:ilvl w:val="1"/>
          <w:numId w:val="32"/>
        </w:numPr>
        <w:tabs>
          <w:tab w:val="clear" w:pos="540"/>
        </w:tabs>
        <w:spacing w:before="120" w:after="120"/>
        <w:ind w:left="426" w:hanging="426"/>
        <w:jc w:val="both"/>
      </w:pPr>
      <w:commentRangeStart w:id="69"/>
      <w:r>
        <w:t xml:space="preserve">Na obstarávania uskutočnené pre </w:t>
      </w:r>
      <w:r w:rsidRPr="0004112C">
        <w:t xml:space="preserve">výdavky vykazované zjednodušeným spôsobom vykazovania </w:t>
      </w:r>
      <w:r>
        <w:t>sa ustanovenia tohto článku nevzťahujú.</w:t>
      </w:r>
      <w:commentRangeEnd w:id="69"/>
      <w:r>
        <w:rPr>
          <w:rStyle w:val="Odkaznakomentr"/>
          <w:rFonts w:eastAsia="Times New Roman"/>
          <w:lang w:val="x-none" w:eastAsia="x-none"/>
        </w:rPr>
        <w:commentReference w:id="69"/>
      </w: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70"/>
      <w:r w:rsidRPr="002256AE">
        <w:t>áslednú monitorovaciu správu Projektu po Finančnom ukončení Projektu po dobu udržateľnosti Projektu, prípadne ak to určí Poskytovateľ.</w:t>
      </w:r>
      <w:commentRangeEnd w:id="70"/>
      <w:r w:rsidRPr="00520399">
        <w:rPr>
          <w:rStyle w:val="Odkaznakomentr"/>
          <w:sz w:val="24"/>
        </w:rPr>
        <w:commentReference w:id="70"/>
      </w:r>
    </w:p>
    <w:p w14:paraId="0C600851" w14:textId="48BD06C3" w:rsidR="00EE0DF4" w:rsidRPr="002256AE" w:rsidRDefault="00083609">
      <w:pPr>
        <w:numPr>
          <w:ilvl w:val="1"/>
          <w:numId w:val="30"/>
        </w:numPr>
        <w:tabs>
          <w:tab w:val="clear" w:pos="540"/>
        </w:tabs>
        <w:spacing w:before="120" w:after="120"/>
        <w:ind w:left="426" w:hanging="426"/>
        <w:jc w:val="both"/>
      </w:pPr>
      <w:r w:rsidRPr="002256A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50911A90"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w:t>
      </w:r>
      <w:r w:rsidR="00F61C24" w:rsidRPr="008E0529">
        <w:lastRenderedPageBreak/>
        <w:t xml:space="preserve">Poskytovateľovi monitorovaciu správu Projektu (s príznakom „záverečná“) za toto obdobie do 30 dní od nadobudnutia účinnosti </w:t>
      </w:r>
      <w:r w:rsidR="00F61C24" w:rsidRPr="002256AE">
        <w:t>rozhodnutia o schválení žiadosti o NFP</w:t>
      </w:r>
      <w:r w:rsidRPr="002256AE">
        <w:t>.</w:t>
      </w:r>
    </w:p>
    <w:p w14:paraId="672631E4" w14:textId="5A97EEE2" w:rsidR="00EE0DF4" w:rsidRPr="002256AE" w:rsidRDefault="00083609">
      <w:pPr>
        <w:numPr>
          <w:ilvl w:val="1"/>
          <w:numId w:val="30"/>
        </w:numPr>
        <w:tabs>
          <w:tab w:val="clear" w:pos="540"/>
        </w:tabs>
        <w:spacing w:before="120" w:after="120"/>
        <w:ind w:left="426" w:hanging="426"/>
        <w:jc w:val="both"/>
      </w:pPr>
      <w:commentRangeStart w:id="71"/>
      <w:r w:rsidRPr="002256AE">
        <w:t>Prijímateľ</w:t>
      </w:r>
      <w:commentRangeEnd w:id="71"/>
      <w:r w:rsidRPr="002256AE">
        <w:commentReference w:id="71"/>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72"/>
      <w:r w:rsidRPr="002256AE">
        <w:t xml:space="preserve">Prijímateľ je povinný prostredníctvom ITMS2014+ poskytovať údaje o účastníkoch Projektu v rozsahu a termínoch určených Poskytovateľom. </w:t>
      </w:r>
      <w:commentRangeEnd w:id="72"/>
      <w:r w:rsidRPr="002256AE">
        <w:commentReference w:id="72"/>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73"/>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73"/>
      <w:r w:rsidRPr="002256AE">
        <w:commentReference w:id="73"/>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w:t>
      </w:r>
      <w:r w:rsidR="002F402A" w:rsidRPr="002F402A">
        <w:rPr>
          <w:bCs/>
        </w:rPr>
        <w:lastRenderedPageBreak/>
        <w:t xml:space="preserve">„posledná“.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Pr="002256AE"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74"/>
      <w:r w:rsidRPr="002256AE">
        <w:t>nie však neskôr ako v lehote určenej Poskytovateľom</w:t>
      </w:r>
      <w:commentRangeEnd w:id="74"/>
      <w:r w:rsidRPr="00520399">
        <w:rPr>
          <w:rStyle w:val="Odkaznakomentr"/>
          <w:sz w:val="24"/>
        </w:rPr>
        <w:commentReference w:id="74"/>
      </w:r>
      <w:r w:rsidRPr="002256AE">
        <w:t>.</w:t>
      </w: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75"/>
      <w:r w:rsidRPr="002256AE">
        <w:rPr>
          <w:rFonts w:ascii="Times New Roman" w:hAnsi="Times New Roman" w:cs="Times New Roman"/>
          <w:kern w:val="0"/>
          <w:sz w:val="24"/>
          <w:szCs w:val="24"/>
        </w:rPr>
        <w:t>KOMUNIKÁCIA</w:t>
      </w:r>
      <w:commentRangeEnd w:id="75"/>
      <w:r w:rsidRPr="00520399">
        <w:rPr>
          <w:rStyle w:val="Odkaznakomentr"/>
          <w:rFonts w:ascii="Times New Roman" w:hAnsi="Times New Roman"/>
          <w:b w:val="0"/>
          <w:kern w:val="0"/>
          <w:sz w:val="24"/>
        </w:rPr>
        <w:commentReference w:id="75"/>
      </w:r>
    </w:p>
    <w:p w14:paraId="2F25E919" w14:textId="4859EBC2"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32E16E28" w14:textId="5B8D5EEA" w:rsidR="00EE0DF4" w:rsidRPr="002256AE" w:rsidRDefault="00EE0DF4" w:rsidP="000748DF">
      <w:pPr>
        <w:spacing w:before="120" w:after="120"/>
        <w:ind w:left="426"/>
        <w:jc w:val="both"/>
      </w:pPr>
    </w:p>
    <w:p w14:paraId="0D4BB4F9" w14:textId="0973E1B4" w:rsidR="00EE0DF4" w:rsidRPr="002256AE" w:rsidRDefault="00083609">
      <w:pPr>
        <w:numPr>
          <w:ilvl w:val="0"/>
          <w:numId w:val="24"/>
        </w:numPr>
        <w:tabs>
          <w:tab w:val="clear" w:pos="360"/>
        </w:tabs>
        <w:spacing w:before="120" w:after="120"/>
        <w:ind w:left="426" w:hanging="426"/>
        <w:jc w:val="both"/>
      </w:pPr>
      <w:r w:rsidRPr="002256AE">
        <w:t xml:space="preserve">Prijímateľ je povinný uvádzať vo všetkých dokumentoch a písomných výstupoch Projektu, ktoré sa týkajú Realizácie aktivít Projektu a sú určené pre verejnosť alebo účastníkov, </w:t>
      </w:r>
      <w:r w:rsidRPr="002256AE">
        <w:lastRenderedPageBreak/>
        <w:t>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76"/>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76"/>
      <w:r w:rsidRPr="00520399">
        <w:rPr>
          <w:rStyle w:val="Odkaznakomentr"/>
          <w:rFonts w:ascii="Times New Roman" w:hAnsi="Times New Roman"/>
          <w:b w:val="0"/>
          <w:sz w:val="24"/>
        </w:rPr>
        <w:commentReference w:id="76"/>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77"/>
      <w:r w:rsidRPr="002256AE">
        <w:rPr>
          <w:bCs/>
        </w:rPr>
        <w:t>a Udržateľnosti Projektu</w:t>
      </w:r>
      <w:commentRangeEnd w:id="77"/>
      <w:r w:rsidRPr="002256AE">
        <w:rPr>
          <w:rStyle w:val="Odkaznakomentr"/>
          <w:sz w:val="24"/>
        </w:rPr>
        <w:commentReference w:id="77"/>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78"/>
      <w:r w:rsidRPr="002256AE">
        <w:rPr>
          <w:bCs/>
        </w:rPr>
        <w:t xml:space="preserve">a počas </w:t>
      </w:r>
      <w:r w:rsidRPr="002256AE">
        <w:t>Udržateľnosti Projektu</w:t>
      </w:r>
      <w:commentRangeEnd w:id="78"/>
      <w:r w:rsidRPr="00520399">
        <w:rPr>
          <w:rStyle w:val="Odkaznakomentr"/>
          <w:sz w:val="24"/>
        </w:rPr>
        <w:commentReference w:id="78"/>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79"/>
      <w:r w:rsidRPr="002256AE">
        <w:t>z osobitného predpisu</w:t>
      </w:r>
      <w:commentRangeEnd w:id="79"/>
      <w:r w:rsidRPr="002256AE">
        <w:rPr>
          <w:rStyle w:val="Odkaznakomentr"/>
          <w:sz w:val="24"/>
        </w:rPr>
        <w:commentReference w:id="79"/>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w:t>
      </w:r>
      <w:r w:rsidRPr="002256AE">
        <w:rPr>
          <w:bCs/>
        </w:rPr>
        <w:lastRenderedPageBreak/>
        <w:t xml:space="preserve">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80"/>
      <w:r w:rsidRPr="002256AE">
        <w:rPr>
          <w:bCs/>
        </w:rPr>
        <w:t>vytvorenie alebo zabezpečenie vytvorenia diela alebo iného práva duševného vlastníctva (vrátane priemyselného vlastníctva) pre Projekt</w:t>
      </w:r>
      <w:commentRangeEnd w:id="80"/>
      <w:r w:rsidRPr="002256AE">
        <w:rPr>
          <w:rStyle w:val="Odkaznakomentr"/>
          <w:sz w:val="24"/>
          <w:lang w:val="x-none" w:eastAsia="x-none"/>
        </w:rPr>
        <w:commentReference w:id="80"/>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81"/>
      <w:r w:rsidRPr="002256AE">
        <w:rPr>
          <w:bCs/>
        </w:rPr>
        <w:t xml:space="preserve">a zabezpečiť Udržateľnosť Projektu </w:t>
      </w:r>
      <w:commentRangeEnd w:id="81"/>
      <w:r w:rsidRPr="00520399">
        <w:rPr>
          <w:rStyle w:val="Odkaznakomentr"/>
          <w:sz w:val="24"/>
        </w:rPr>
        <w:commentReference w:id="81"/>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82"/>
      <w:r w:rsidRPr="002256AE">
        <w:rPr>
          <w:bCs/>
        </w:rPr>
        <w:t>a počas Udržateľnosti Projektu</w:t>
      </w:r>
      <w:commentRangeEnd w:id="82"/>
      <w:r w:rsidRPr="00520399">
        <w:rPr>
          <w:rStyle w:val="Odkaznakomentr"/>
          <w:sz w:val="24"/>
        </w:rPr>
        <w:commentReference w:id="82"/>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lastRenderedPageBreak/>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83"/>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83"/>
      <w:r w:rsidRPr="002256AE">
        <w:rPr>
          <w:bCs/>
        </w:rPr>
        <w:commentReference w:id="83"/>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lastRenderedPageBreak/>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84"/>
      <w:r w:rsidRPr="002256AE">
        <w:t xml:space="preserve">, </w:t>
      </w:r>
      <w:r w:rsidRPr="002256AE">
        <w:rPr>
          <w:bCs/>
        </w:rPr>
        <w:t>resp. najskôr                  od 1. septembra 2013 v prípade projektov realizovaných v rámci Iniciatívy                                pre zamestnanosť mladých</w:t>
      </w:r>
      <w:commentRangeEnd w:id="84"/>
      <w:r w:rsidRPr="002256AE">
        <w:rPr>
          <w:rStyle w:val="Odkaznakomentr"/>
          <w:sz w:val="24"/>
          <w:lang w:val="x-none" w:eastAsia="x-none"/>
        </w:rPr>
        <w:commentReference w:id="84"/>
      </w:r>
      <w:r w:rsidRPr="002256AE">
        <w:t xml:space="preserve"> alebo po Ukončení realizácie hlavných aktivít Projektu, najneskôr však do uplynutia </w:t>
      </w:r>
      <w:commentRangeStart w:id="85"/>
      <w:r w:rsidRPr="002256AE">
        <w:t xml:space="preserve">3 mesiacov </w:t>
      </w:r>
      <w:commentRangeEnd w:id="85"/>
      <w:r w:rsidRPr="002256AE">
        <w:rPr>
          <w:rStyle w:val="Odkaznakomentr"/>
          <w:sz w:val="24"/>
          <w:lang w:val="x-none" w:eastAsia="x-none"/>
        </w:rPr>
        <w:commentReference w:id="85"/>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86"/>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86"/>
      <w:r w:rsidR="00FB3443">
        <w:rPr>
          <w:rStyle w:val="Odkaznakomentr"/>
          <w:rFonts w:eastAsia="Times New Roman"/>
          <w:lang w:val="x-none" w:eastAsia="x-none"/>
        </w:rPr>
        <w:commentReference w:id="86"/>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 xml:space="preserve">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w:t>
      </w:r>
      <w:r w:rsidRPr="002256AE">
        <w:rPr>
          <w:bCs/>
        </w:rPr>
        <w:lastRenderedPageBreak/>
        <w:t>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vyplývajúce z Vyzvania, z čl. 30 Nariadenia 966/2012 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4657DB58"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w:t>
      </w:r>
      <w:r w:rsidRPr="002256AE">
        <w:lastRenderedPageBreak/>
        <w:t xml:space="preserve">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87"/>
      <w:r w:rsidRPr="002256AE">
        <w:t>alebo vyznačením Začatia realizácie hlavných aktivít Projektu v ITMS2014+.</w:t>
      </w:r>
      <w:commentRangeEnd w:id="87"/>
      <w:r w:rsidRPr="002256AE">
        <w:rPr>
          <w:rStyle w:val="Odkaznakomentr"/>
          <w:sz w:val="24"/>
        </w:rPr>
        <w:commentReference w:id="87"/>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lastRenderedPageBreak/>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88"/>
      <w:r w:rsidRPr="002256AE">
        <w:rPr>
          <w:bCs/>
        </w:rPr>
        <w:t>Rozpočte Projektu ako tvorí prílohu rozhodnutia a </w:t>
      </w:r>
      <w:commentRangeEnd w:id="88"/>
      <w:r w:rsidRPr="00520399">
        <w:rPr>
          <w:rStyle w:val="Odkaznakomentr"/>
          <w:sz w:val="24"/>
        </w:rPr>
        <w:commentReference w:id="88"/>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62E01BD"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lastRenderedPageBreak/>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lastRenderedPageBreak/>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41B345D9"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6340565E"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02905D0C"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w:t>
      </w:r>
      <w:r w:rsidRPr="002256AE">
        <w:rPr>
          <w:bCs/>
        </w:rPr>
        <w:lastRenderedPageBreak/>
        <w:t xml:space="preserve">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4E551F"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lastRenderedPageBreak/>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1FA23C21"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čistý príjem z Projektu v prípade, ak bol počas Realizácie Projektu alebo v období troch rokov od Finančného ukončenia Projektu vytvorený príjem podľa článku 61 </w:t>
      </w:r>
      <w:r w:rsidRPr="002256AE">
        <w:lastRenderedPageBreak/>
        <w:t>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3A78ADFB"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w:t>
      </w:r>
      <w:r w:rsidR="00455EFF">
        <w:lastRenderedPageBreak/>
        <w:t>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4CB72262"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76A0DB25"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8F8664B"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7777777"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6 tohto článku VZP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 xml:space="preserve">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w:t>
      </w:r>
      <w:r w:rsidRPr="00307126">
        <w:lastRenderedPageBreak/>
        <w:t>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77777777"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7B65F530" w14:textId="7BD80078" w:rsidR="00D4194C" w:rsidRPr="002256AE" w:rsidRDefault="00D4194C" w:rsidP="00520399">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2256AE">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293665F8"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2DE1CE66"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a v lehote uvedenej v článku 19 VP. </w:t>
      </w:r>
    </w:p>
    <w:p w14:paraId="65D8C908" w14:textId="77777777" w:rsidR="00EE0DF4" w:rsidRPr="002256AE" w:rsidRDefault="00083609">
      <w:pPr>
        <w:numPr>
          <w:ilvl w:val="0"/>
          <w:numId w:val="37"/>
        </w:numPr>
        <w:tabs>
          <w:tab w:val="clear" w:pos="540"/>
        </w:tabs>
        <w:spacing w:before="120" w:after="120"/>
        <w:ind w:left="426" w:hanging="426"/>
        <w:jc w:val="both"/>
      </w:pPr>
      <w:r w:rsidRPr="002256AE">
        <w:lastRenderedPageBreak/>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3ADCC9FE" w14:textId="3B95A192"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a nimi poverené osoby,</w:t>
      </w:r>
    </w:p>
    <w:p w14:paraId="433DDAF5" w14:textId="7A8BD94B"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Najvyšší kontrolný úrad SR, </w:t>
      </w:r>
      <w:r w:rsidR="00B51529" w:rsidRPr="002256AE">
        <w:t>Úrad vládneho auditu</w:t>
      </w:r>
      <w:r w:rsidRPr="002256AE">
        <w:t xml:space="preserve">, Certifikačný orgán a nimi poverené osoby, </w:t>
      </w:r>
    </w:p>
    <w:p w14:paraId="3705BFFF"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Orgán auditu, jeho spolupracujúce orgány 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3D1FF5C6"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4FDAE878" w:rsidR="00EE0DF4" w:rsidRPr="002256AE" w:rsidRDefault="00083609">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 xml:space="preserve">Merateľných ukazovateľov Projektu a ďalšie povinnosti stanovené Prijímateľovi vo VP. Kontrola Projektu je vykonávaná v súlade so zákonom o finančnej kontrole a  audite a to najmä formou administratívnej </w:t>
      </w:r>
      <w:r w:rsidR="008A06FB">
        <w:t xml:space="preserve">finančnej </w:t>
      </w:r>
      <w:r w:rsidRPr="002256AE">
        <w:t xml:space="preserve">kontroly </w:t>
      </w:r>
      <w:r w:rsidR="009A35A1">
        <w:t>povinnej</w:t>
      </w:r>
      <w:r w:rsidR="009A35A1" w:rsidRPr="002256AE">
        <w:t xml:space="preserve"> </w:t>
      </w:r>
      <w:r w:rsidRPr="002256AE">
        <w:t>osoby a</w:t>
      </w:r>
      <w:r w:rsidR="009A35A1">
        <w:t xml:space="preserve"> finančnej </w:t>
      </w:r>
      <w:r w:rsidRPr="002256AE">
        <w:t xml:space="preserve">kontroly na mieste. V prípade, ak sú kontrolou vykonávanou formou administratívnej </w:t>
      </w:r>
      <w:r w:rsidR="008A06FB">
        <w:t xml:space="preserve">finančnej </w:t>
      </w:r>
      <w:r w:rsidRPr="002256AE">
        <w:t>kontroly kontrolovanej osoby alebo</w:t>
      </w:r>
      <w:r w:rsidR="00DC6655">
        <w:t xml:space="preserve"> finančnej</w:t>
      </w:r>
      <w:r w:rsidRPr="002256AE">
        <w:t xml:space="preserve"> kontroly na mieste identifikované nedostatky, doručí Poskytovateľ Prijímateľovi návrh </w:t>
      </w:r>
      <w:r w:rsidR="00EB2071" w:rsidRPr="002256AE">
        <w:t>čiastkovej správy</w:t>
      </w:r>
      <w:r w:rsidR="0070659B" w:rsidRPr="002256AE">
        <w:t xml:space="preserve"> z kontroly</w:t>
      </w:r>
      <w:r w:rsidR="00EB2071" w:rsidRPr="002256AE">
        <w:t xml:space="preserve">/návrh </w:t>
      </w:r>
      <w:r w:rsidRPr="002256AE">
        <w:t xml:space="preserve">správy z kontroly, pričom Prijímateľ je oprávnený </w:t>
      </w:r>
      <w:r w:rsidR="00DC6655" w:rsidRPr="008E0529">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Pr="002256AE">
        <w:t xml:space="preserve">. Po zohľadnení opodstatnených námietok (za predpokladu, že Prijímateľ zaslal námietky v stanovenej lehote) zasiela Poskytovateľ Prijímateľovi </w:t>
      </w:r>
      <w:r w:rsidR="00D86567" w:rsidRPr="002256AE">
        <w:t>čiastkovú správu z kontroly/</w:t>
      </w:r>
      <w:r w:rsidRPr="002256AE">
        <w:t>správu z</w:t>
      </w:r>
      <w:r w:rsidR="008F796D" w:rsidRPr="002256AE">
        <w:t> </w:t>
      </w:r>
      <w:r w:rsidRPr="002256AE">
        <w:t xml:space="preserve">kontroly. Poskytovateľ zašle </w:t>
      </w:r>
      <w:r w:rsidR="00D86567" w:rsidRPr="002256AE">
        <w:t>čiastkovú správu z kontroly/</w:t>
      </w:r>
      <w:r w:rsidRPr="002256AE">
        <w:t xml:space="preserve">správu z kontroly Prijímateľovi aj v prípade, ak kontrolou neboli zistené nedostatky.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lastRenderedPageBreak/>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prijať opatrenia  na nápravu nedostatkov zistených kontrolou/auditom v zmysle </w:t>
      </w:r>
      <w:r w:rsidR="00D86567" w:rsidRPr="002256AE">
        <w:t>čiastkovej správy z kontroly/</w:t>
      </w:r>
      <w:r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2B8F1508" w:rsidR="00EE0DF4" w:rsidRPr="002256AE" w:rsidRDefault="00083609">
      <w:pPr>
        <w:pStyle w:val="Odsekzoznamu1"/>
        <w:numPr>
          <w:ilvl w:val="0"/>
          <w:numId w:val="43"/>
        </w:numPr>
        <w:spacing w:before="120" w:after="120"/>
        <w:ind w:left="425" w:hanging="425"/>
        <w:contextualSpacing w:val="0"/>
        <w:jc w:val="both"/>
      </w:pPr>
      <w:r w:rsidRPr="002256AE">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r w:rsidR="00DC6655">
        <w:t>. P</w:t>
      </w:r>
      <w:r w:rsidRPr="002256AE">
        <w:t>ri vykonávaní kontroly/auditu sú Poskytovateľ alebo osoby uvedené v odseku 1 tohto článku viazané iba platnými právnymi predpismi a týmito VP, nie však závermi predchádzajúcich kontrol/auditov</w:t>
      </w:r>
      <w:r w:rsidR="00DC6655">
        <w:t xml:space="preserve">, </w:t>
      </w:r>
      <w:r w:rsidR="00DC6655" w:rsidRPr="008E0529">
        <w:rPr>
          <w:sz w:val="22"/>
          <w:szCs w:val="22"/>
        </w:rPr>
        <w:t>pričom tým nie sú nijak dotknuté povinnosti (týkajúce sa napríklad povinnosti plniť uložené nápravné opatrenia) vyplývajúce z týchto predchádzajúcich kontrol/auditov</w:t>
      </w:r>
      <w:r w:rsidRPr="002256AE">
        <w:t xml:space="preserve">.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lastRenderedPageBreak/>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2C6576F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69E5F64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89"/>
      <w:r w:rsidRPr="002256AE">
        <w:rPr>
          <w:color w:val="000000"/>
        </w:rPr>
        <w:t>....</w:t>
      </w:r>
      <w:commentRangeEnd w:id="89"/>
      <w:r w:rsidRPr="002256AE">
        <w:rPr>
          <w:rStyle w:val="Odkaznakomentr"/>
          <w:rFonts w:eastAsia="Calibri"/>
          <w:sz w:val="24"/>
        </w:rPr>
        <w:commentReference w:id="89"/>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90"/>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90"/>
      <w:r w:rsidRPr="002256AE">
        <w:rPr>
          <w:rStyle w:val="Odkaznakomentr"/>
          <w:rFonts w:eastAsia="Calibri"/>
          <w:sz w:val="24"/>
        </w:rPr>
        <w:commentReference w:id="90"/>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w:t>
      </w:r>
      <w:r w:rsidRPr="002256AE">
        <w:rPr>
          <w:color w:val="000000"/>
        </w:rPr>
        <w:lastRenderedPageBreak/>
        <w:t>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77777777" w:rsidR="00356A8B" w:rsidRDefault="00356A8B">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 w:author="Autor" w:initials="A">
    <w:p w14:paraId="02C853C2" w14:textId="77777777" w:rsidR="00356A8B" w:rsidRDefault="00356A8B">
      <w:pPr>
        <w:pStyle w:val="Textkomentra"/>
      </w:pPr>
      <w:r>
        <w:rPr>
          <w:rStyle w:val="Odkaznakomentr"/>
          <w:szCs w:val="16"/>
        </w:rPr>
        <w:annotationRef/>
      </w:r>
      <w:r>
        <w:t>Vypustí sa, ak projekt zo svojej podstaty nemôže generovať príjem</w:t>
      </w:r>
    </w:p>
  </w:comment>
  <w:comment w:id="3" w:author="Autor" w:initials="A">
    <w:p w14:paraId="5A41EA2E" w14:textId="77777777" w:rsidR="00356A8B" w:rsidRDefault="00356A8B">
      <w:pPr>
        <w:pStyle w:val="Textkomentra"/>
      </w:pPr>
      <w:r>
        <w:rPr>
          <w:rStyle w:val="Odkaznakomentr"/>
          <w:szCs w:val="16"/>
        </w:rPr>
        <w:annotationRef/>
      </w:r>
      <w:r>
        <w:t>Vypustí sa, ak projekt zo svojej podstaty nemôže generovať príjem</w:t>
      </w:r>
    </w:p>
  </w:comment>
  <w:comment w:id="4" w:author="Autor" w:initials="A">
    <w:p w14:paraId="2DC1C31A" w14:textId="77777777" w:rsidR="00356A8B" w:rsidRDefault="00356A8B">
      <w:pPr>
        <w:pStyle w:val="Textkomentra"/>
      </w:pPr>
      <w:r>
        <w:rPr>
          <w:rStyle w:val="Odkaznakomentr"/>
          <w:szCs w:val="16"/>
        </w:rPr>
        <w:annotationRef/>
      </w:r>
      <w:r>
        <w:t>Vypustí sa, ak projekt zo svojej podstaty nemôže generovať príjem</w:t>
      </w:r>
    </w:p>
  </w:comment>
  <w:comment w:id="5" w:author="Autor" w:initials="A">
    <w:p w14:paraId="7D66857F" w14:textId="77777777" w:rsidR="00356A8B" w:rsidRDefault="00356A8B">
      <w:pPr>
        <w:pStyle w:val="Textkomentra"/>
      </w:pPr>
      <w:r>
        <w:rPr>
          <w:rStyle w:val="Odkaznakomentr"/>
          <w:szCs w:val="16"/>
        </w:rPr>
        <w:annotationRef/>
      </w:r>
      <w:r>
        <w:t>Vypustí sa, ak projekt zo svojej podstaty nemôže generovať príjem</w:t>
      </w:r>
    </w:p>
  </w:comment>
  <w:comment w:id="6" w:author="Autor" w:initials="A">
    <w:p w14:paraId="611C5D29" w14:textId="77777777" w:rsidR="00356A8B" w:rsidRDefault="00356A8B">
      <w:pPr>
        <w:pStyle w:val="Textkomentra"/>
      </w:pPr>
      <w:r>
        <w:rPr>
          <w:rStyle w:val="Odkaznakomentr"/>
          <w:szCs w:val="16"/>
        </w:rPr>
        <w:annotationRef/>
      </w:r>
      <w:r>
        <w:t>Vypustí sa, ak projekt zo svojej podstaty nemôže generovať príjem</w:t>
      </w:r>
    </w:p>
  </w:comment>
  <w:comment w:id="7" w:author="Autor" w:initials="A">
    <w:p w14:paraId="4AFB61B2" w14:textId="6936BB4A" w:rsidR="00356A8B" w:rsidRPr="00BC5687" w:rsidRDefault="00356A8B" w:rsidP="00991A94">
      <w:pPr>
        <w:pStyle w:val="Textkomentra"/>
      </w:pPr>
      <w:r>
        <w:rPr>
          <w:rStyle w:val="Odkaznakomentr"/>
        </w:rPr>
        <w:annotationRef/>
      </w:r>
      <w:r>
        <w:t>V prípade, ak sa zjednodušené vykazovanie výdavkov v projekte neaplikuje RO predmetné ustanovenie odstráni</w:t>
      </w:r>
    </w:p>
  </w:comment>
  <w:comment w:id="8" w:author="Autor" w:initials="A">
    <w:p w14:paraId="1181062B" w14:textId="77777777" w:rsidR="00AA45D8" w:rsidRDefault="00AA45D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9" w:author="Autor" w:initials="A">
    <w:p w14:paraId="6E0A66D7" w14:textId="787A741F" w:rsidR="00356A8B" w:rsidRDefault="00356A8B">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1" w:author="Autor" w:initials="A">
    <w:p w14:paraId="5601C559" w14:textId="77777777" w:rsidR="00356A8B" w:rsidRDefault="00356A8B">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0" w:author="Autor" w:initials="A">
    <w:p w14:paraId="1CFCC06D" w14:textId="77777777" w:rsidR="00356A8B" w:rsidRDefault="00356A8B">
      <w:pPr>
        <w:pStyle w:val="Textkomentra"/>
      </w:pPr>
      <w:r>
        <w:rPr>
          <w:rStyle w:val="Odkaznakomentr"/>
          <w:szCs w:val="16"/>
        </w:rPr>
        <w:annotationRef/>
      </w:r>
      <w:r>
        <w:t>Vypustí sa, ak projekt zo svojej podstaty nemôže generovať príjem</w:t>
      </w:r>
    </w:p>
  </w:comment>
  <w:comment w:id="12" w:author="Autor" w:initials="A">
    <w:p w14:paraId="276EC7F4" w14:textId="77777777" w:rsidR="00356A8B" w:rsidRDefault="00356A8B">
      <w:pPr>
        <w:pStyle w:val="Textkomentra"/>
      </w:pPr>
      <w:r>
        <w:rPr>
          <w:rStyle w:val="Odkaznakomentr"/>
          <w:szCs w:val="16"/>
        </w:rPr>
        <w:annotationRef/>
      </w:r>
      <w:r>
        <w:t>Vypustí sa, ak projekt zo svojej podstaty nemôže generovať príjem</w:t>
      </w:r>
    </w:p>
  </w:comment>
  <w:comment w:id="13" w:author="Autor" w:initials="A">
    <w:p w14:paraId="5FF99183" w14:textId="77777777" w:rsidR="00356A8B" w:rsidRDefault="00356A8B">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4" w:author="Autor" w:initials="A">
    <w:p w14:paraId="04503F70" w14:textId="77777777" w:rsidR="00356A8B" w:rsidRDefault="00356A8B">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5" w:author="Autor" w:initials="A">
    <w:p w14:paraId="0EBF471E" w14:textId="77777777" w:rsidR="00356A8B" w:rsidRPr="00696ADB" w:rsidRDefault="00356A8B" w:rsidP="00991A94">
      <w:pPr>
        <w:pStyle w:val="Textkomentra"/>
      </w:pPr>
      <w:r>
        <w:rPr>
          <w:rStyle w:val="Odkaznakomentr"/>
        </w:rPr>
        <w:annotationRef/>
      </w:r>
      <w:r>
        <w:t>RO odstráni, ak sa v projekte zjednodušené vykazovanie výdavkov nevyužíva</w:t>
      </w:r>
    </w:p>
  </w:comment>
  <w:comment w:id="16" w:author="Autor" w:initials="A">
    <w:p w14:paraId="159E4DEF" w14:textId="77777777" w:rsidR="00356A8B" w:rsidRDefault="00356A8B">
      <w:pPr>
        <w:pStyle w:val="Textkomentra"/>
      </w:pPr>
      <w:r>
        <w:rPr>
          <w:rStyle w:val="Odkaznakomentr"/>
        </w:rPr>
        <w:annotationRef/>
      </w:r>
      <w:r>
        <w:t>Vypustí sa, ak projekt nebude implementovať sprostredkovateľský orgán.</w:t>
      </w:r>
    </w:p>
  </w:comment>
  <w:comment w:id="17" w:author="Autor" w:initials="A">
    <w:p w14:paraId="75207DAC" w14:textId="77777777" w:rsidR="00356A8B" w:rsidRDefault="00356A8B">
      <w:pPr>
        <w:pStyle w:val="Textkomentra"/>
      </w:pPr>
      <w:r>
        <w:rPr>
          <w:rStyle w:val="Odkaznakomentr"/>
          <w:szCs w:val="16"/>
        </w:rPr>
        <w:annotationRef/>
      </w:r>
      <w:r>
        <w:t>Všetky chýbajúce údaje doplní RO</w:t>
      </w:r>
    </w:p>
  </w:comment>
  <w:comment w:id="18" w:author="Autor" w:initials="A">
    <w:p w14:paraId="7A8223FF" w14:textId="77777777" w:rsidR="00356A8B" w:rsidRDefault="00356A8B">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9" w:author="Autor" w:initials="A">
    <w:p w14:paraId="6DABD8DB" w14:textId="77777777" w:rsidR="00356A8B" w:rsidRDefault="00356A8B">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0" w:author="Autor" w:initials="A">
    <w:p w14:paraId="74AB4710" w14:textId="77777777" w:rsidR="00356A8B" w:rsidRDefault="00356A8B">
      <w:pPr>
        <w:pStyle w:val="Textkomentra"/>
      </w:pPr>
      <w:r>
        <w:rPr>
          <w:rStyle w:val="Odkaznakomentr"/>
          <w:szCs w:val="16"/>
        </w:rPr>
        <w:annotationRef/>
      </w:r>
      <w:r>
        <w:t xml:space="preserve">Pri projektoch TP na mzdy sa celé písm. b) vypustí a zvyšný text sa primerane gramaticky preformuluje.  </w:t>
      </w:r>
    </w:p>
  </w:comment>
  <w:comment w:id="21" w:author="Autor" w:initials="A">
    <w:p w14:paraId="69D2143D" w14:textId="77777777" w:rsidR="00356A8B" w:rsidRDefault="00356A8B">
      <w:pPr>
        <w:pStyle w:val="Textkomentra"/>
      </w:pPr>
      <w:r>
        <w:rPr>
          <w:rStyle w:val="Odkaznakomentr"/>
          <w:szCs w:val="16"/>
        </w:rPr>
        <w:annotationRef/>
      </w:r>
      <w:r>
        <w:t xml:space="preserve">Napríklad kópia pozvánky na posledné školenie spolu s kópiou prezenčnej listiny účastníkov. </w:t>
      </w:r>
    </w:p>
  </w:comment>
  <w:comment w:id="22" w:author="Autor" w:initials="A">
    <w:p w14:paraId="3B5F69DD" w14:textId="77777777" w:rsidR="00356A8B" w:rsidRDefault="00356A8B">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3" w:author="Autor" w:initials="A">
    <w:p w14:paraId="411C4B37" w14:textId="5D25077E" w:rsidR="009C726C" w:rsidRDefault="009C726C">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4" w:author="Autor" w:initials="A">
    <w:p w14:paraId="566D06DF" w14:textId="77777777" w:rsidR="00356A8B" w:rsidRDefault="00356A8B">
      <w:pPr>
        <w:pStyle w:val="Textkomentra"/>
      </w:pPr>
      <w:r>
        <w:rPr>
          <w:rStyle w:val="Odkaznakomentr"/>
          <w:szCs w:val="16"/>
        </w:rPr>
        <w:annotationRef/>
      </w:r>
      <w:r>
        <w:t>Vypustí sa, ak projekt zo svojej podstaty nemôže generovať príjem</w:t>
      </w:r>
    </w:p>
  </w:comment>
  <w:comment w:id="25" w:author="Autor" w:initials="A">
    <w:p w14:paraId="2FAD6CB5" w14:textId="77777777" w:rsidR="00356A8B" w:rsidRDefault="00356A8B">
      <w:pPr>
        <w:pStyle w:val="Textkomentra"/>
      </w:pPr>
      <w:r>
        <w:rPr>
          <w:rStyle w:val="Odkaznakomentr"/>
        </w:rPr>
        <w:annotationRef/>
      </w:r>
      <w:r>
        <w:t>V prípade viacerých fondov Poskytovateľ doplní riadky</w:t>
      </w:r>
    </w:p>
  </w:comment>
  <w:comment w:id="26" w:author="Autor" w:initials="A">
    <w:p w14:paraId="2B303179" w14:textId="77777777" w:rsidR="00356A8B" w:rsidRDefault="00356A8B">
      <w:pPr>
        <w:pStyle w:val="Textkomentra"/>
      </w:pPr>
      <w:r>
        <w:rPr>
          <w:rStyle w:val="Odkaznakomentr"/>
          <w:szCs w:val="16"/>
        </w:rPr>
        <w:annotationRef/>
      </w:r>
      <w:r>
        <w:t>Vypustí sa  v prípade, ak v rámci projektu nedochádza k poskytovaniu pomoci (najmä v prípadoch projektov TP)</w:t>
      </w:r>
    </w:p>
  </w:comment>
  <w:comment w:id="28" w:author="Autor" w:initials="A">
    <w:p w14:paraId="526DAB6E" w14:textId="158C19F9" w:rsidR="002B7EDD" w:rsidRDefault="002B7EDD">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29" w:author="Autor" w:initials="A">
    <w:p w14:paraId="1826EB34" w14:textId="77777777" w:rsidR="00AA45D8" w:rsidRDefault="00AA45D8">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AA45D8" w:rsidRDefault="00AA45D8"/>
  </w:comment>
  <w:comment w:id="30" w:author="Autor" w:initials="A">
    <w:p w14:paraId="6EDFCC90" w14:textId="1521956A" w:rsidR="00356A8B" w:rsidRDefault="00356A8B"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31" w:author="Autor" w:initials="A">
    <w:p w14:paraId="1AB7B23E" w14:textId="77777777" w:rsidR="00356A8B" w:rsidRDefault="00356A8B">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32" w:author="Autor" w:initials="A">
    <w:p w14:paraId="143DA6CE" w14:textId="77777777" w:rsidR="00356A8B" w:rsidRDefault="00356A8B">
      <w:pPr>
        <w:pStyle w:val="Textkomentra"/>
      </w:pPr>
      <w:r>
        <w:rPr>
          <w:rStyle w:val="Odkaznakomentr"/>
          <w:szCs w:val="16"/>
        </w:rPr>
        <w:annotationRef/>
      </w:r>
      <w:r>
        <w:t>Vypĺňa sa len v prípade projektov, pri ktorých sa vypočítava príjem v zmysle čl. 61 všeobecného nariadenia</w:t>
      </w:r>
    </w:p>
  </w:comment>
  <w:comment w:id="33" w:author="Autor" w:initials="A">
    <w:p w14:paraId="1C34DBBE" w14:textId="77777777" w:rsidR="00356A8B" w:rsidRDefault="00356A8B">
      <w:pPr>
        <w:pStyle w:val="Textkomentra"/>
      </w:pPr>
      <w:r>
        <w:rPr>
          <w:rStyle w:val="Odkaznakomentr"/>
          <w:szCs w:val="16"/>
        </w:rPr>
        <w:annotationRef/>
      </w:r>
      <w:r>
        <w:t>Doplní sa miera spolufinancovania zdrojov EÚ a ŠR</w:t>
      </w:r>
    </w:p>
  </w:comment>
  <w:comment w:id="34" w:author="Autor" w:initials="A">
    <w:p w14:paraId="32DED6A0" w14:textId="77777777" w:rsidR="00356A8B" w:rsidRDefault="00356A8B">
      <w:pPr>
        <w:pStyle w:val="Textkomentra"/>
      </w:pPr>
      <w:r>
        <w:rPr>
          <w:rStyle w:val="Odkaznakomentr"/>
          <w:szCs w:val="16"/>
        </w:rPr>
        <w:annotationRef/>
      </w:r>
      <w:r>
        <w:t>Výber relevantnej možnosti s ohľadom na skutočnosť, či ide o projekty generujúce príjem alebo nie</w:t>
      </w:r>
    </w:p>
    <w:p w14:paraId="29DC805C" w14:textId="77777777" w:rsidR="00356A8B" w:rsidRDefault="00356A8B">
      <w:pPr>
        <w:pStyle w:val="Textkomentra"/>
      </w:pPr>
    </w:p>
  </w:comment>
  <w:comment w:id="35" w:author="Autor" w:initials="A">
    <w:p w14:paraId="0B3500CC" w14:textId="77777777" w:rsidR="00356A8B" w:rsidRDefault="00356A8B">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37" w:author="Autor" w:initials="A">
    <w:p w14:paraId="0B6C4E81" w14:textId="77777777" w:rsidR="00356A8B" w:rsidRDefault="00356A8B">
      <w:pPr>
        <w:pStyle w:val="Textkomentra"/>
      </w:pPr>
      <w:r>
        <w:rPr>
          <w:rStyle w:val="Odkaznakomentr"/>
          <w:szCs w:val="16"/>
        </w:rPr>
        <w:annotationRef/>
      </w:r>
      <w:r>
        <w:t>Miera spolufinancovania prijímateľa v zmysle Stratégie financovania na PO 2014 - 2020</w:t>
      </w:r>
    </w:p>
  </w:comment>
  <w:comment w:id="38" w:author="Autor" w:initials="A">
    <w:p w14:paraId="550C6DC6" w14:textId="77777777" w:rsidR="00356A8B" w:rsidRDefault="00356A8B">
      <w:pPr>
        <w:pStyle w:val="Textkomentra"/>
      </w:pPr>
      <w:r>
        <w:rPr>
          <w:rStyle w:val="Odkaznakomentr"/>
          <w:szCs w:val="16"/>
        </w:rPr>
        <w:annotationRef/>
      </w:r>
      <w:r>
        <w:t>Vyberie sa relevantná možnosť podobne ako v písm. c) vyššie</w:t>
      </w:r>
    </w:p>
  </w:comment>
  <w:comment w:id="36" w:author="Autor" w:initials="A">
    <w:p w14:paraId="58DC26A3" w14:textId="77777777" w:rsidR="00356A8B" w:rsidRDefault="00356A8B">
      <w:pPr>
        <w:pStyle w:val="Textkomentra"/>
      </w:pPr>
      <w:r>
        <w:rPr>
          <w:rStyle w:val="Odkaznakomentr"/>
          <w:szCs w:val="16"/>
        </w:rPr>
        <w:annotationRef/>
      </w:r>
      <w:r>
        <w:t>Vypustí sa v prípade 100% spolufinancovania projektu z NFP</w:t>
      </w:r>
    </w:p>
  </w:comment>
  <w:comment w:id="39" w:author="Autor" w:initials="A">
    <w:p w14:paraId="10C30FAA" w14:textId="77777777" w:rsidR="00356A8B" w:rsidRDefault="00356A8B">
      <w:pPr>
        <w:pStyle w:val="Textkomentra"/>
      </w:pPr>
      <w:r>
        <w:rPr>
          <w:rStyle w:val="Odkaznakomentr"/>
          <w:szCs w:val="16"/>
        </w:rPr>
        <w:annotationRef/>
      </w:r>
      <w:r>
        <w:t>Vymaže sa, ak nie je relevantné</w:t>
      </w:r>
    </w:p>
  </w:comment>
  <w:comment w:id="40" w:author="Autor" w:initials="A">
    <w:p w14:paraId="263C9512" w14:textId="77777777" w:rsidR="00356A8B" w:rsidRDefault="00356A8B">
      <w:pPr>
        <w:pStyle w:val="Textkomentra"/>
      </w:pPr>
      <w:r>
        <w:rPr>
          <w:rStyle w:val="Odkaznakomentr"/>
          <w:szCs w:val="16"/>
        </w:rPr>
        <w:annotationRef/>
      </w:r>
      <w:r>
        <w:t xml:space="preserve">Podlieha úprave (prepis na písm. b), ak nejde o projekty generujúce príjem, pri ktorých sa v ods. 3.1 vymaže písm. a). </w:t>
      </w:r>
    </w:p>
  </w:comment>
  <w:comment w:id="41" w:author="Autor" w:initials="A">
    <w:p w14:paraId="7D2FA2BC" w14:textId="77777777" w:rsidR="00356A8B" w:rsidRDefault="00356A8B">
      <w:pPr>
        <w:pStyle w:val="Textkomentra"/>
      </w:pPr>
      <w:r>
        <w:rPr>
          <w:rStyle w:val="Odkaznakomentr"/>
          <w:szCs w:val="16"/>
        </w:rPr>
        <w:annotationRef/>
      </w:r>
      <w:r>
        <w:t>Doplní Poskytovateľ</w:t>
      </w:r>
    </w:p>
  </w:comment>
  <w:comment w:id="42" w:author="Autor" w:initials="A">
    <w:p w14:paraId="27830647" w14:textId="77777777" w:rsidR="00356A8B" w:rsidRDefault="00356A8B">
      <w:pPr>
        <w:pStyle w:val="Textkomentra"/>
      </w:pPr>
      <w:r>
        <w:rPr>
          <w:rStyle w:val="Odkaznakomentr"/>
        </w:rPr>
        <w:annotationRef/>
      </w:r>
      <w:r>
        <w:t xml:space="preserve">V prípade nerelevantnosti sa vypustí. </w:t>
      </w:r>
    </w:p>
  </w:comment>
  <w:comment w:id="43" w:author="Autor" w:initials="A">
    <w:p w14:paraId="68948E8F" w14:textId="77777777" w:rsidR="00356A8B" w:rsidRDefault="00356A8B">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44" w:author="Autor" w:initials="A">
    <w:p w14:paraId="262DE9B4" w14:textId="77777777" w:rsidR="00356A8B" w:rsidRDefault="00356A8B">
      <w:pPr>
        <w:pStyle w:val="Textkomentra"/>
      </w:pPr>
      <w:r>
        <w:rPr>
          <w:rStyle w:val="Odkaznakomentr"/>
          <w:szCs w:val="16"/>
        </w:rPr>
        <w:annotationRef/>
      </w:r>
      <w:r>
        <w:t xml:space="preserve">Uplatní sa iba v prípade, ak v je v rámci projektu poskytovaná pomoc. </w:t>
      </w:r>
    </w:p>
  </w:comment>
  <w:comment w:id="45" w:author="Autor" w:initials="A">
    <w:p w14:paraId="4A6B6B7E" w14:textId="77777777" w:rsidR="00356A8B" w:rsidRDefault="00356A8B">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6" w:author="Autor" w:initials="A">
    <w:p w14:paraId="16079718" w14:textId="77777777" w:rsidR="00356A8B" w:rsidRDefault="00356A8B">
      <w:pPr>
        <w:pStyle w:val="Textkomentra"/>
      </w:pPr>
      <w:r>
        <w:rPr>
          <w:rStyle w:val="Odkaznakomentr"/>
        </w:rPr>
        <w:annotationRef/>
      </w:r>
      <w:r>
        <w:t xml:space="preserve">Vypustí sa pri projektoch, pri ktorých sa nesleduje udržateľnosť .  </w:t>
      </w:r>
    </w:p>
  </w:comment>
  <w:comment w:id="47" w:author="Autor" w:initials="A">
    <w:p w14:paraId="3C3C30C9" w14:textId="77777777" w:rsidR="00356A8B" w:rsidRDefault="00356A8B">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8" w:author="Autor" w:initials="A">
    <w:p w14:paraId="6C286A48" w14:textId="77777777" w:rsidR="00356A8B" w:rsidRDefault="00356A8B">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9" w:author="Autor" w:initials="A">
    <w:p w14:paraId="65822F22" w14:textId="77777777" w:rsidR="00356A8B" w:rsidRDefault="00356A8B">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356A8B" w:rsidRDefault="00356A8B">
      <w:pPr>
        <w:pStyle w:val="Textkomentra"/>
      </w:pPr>
    </w:p>
    <w:p w14:paraId="00E3FBA0" w14:textId="77777777" w:rsidR="00356A8B" w:rsidRDefault="00356A8B">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50" w:author="Autor" w:initials="A">
    <w:p w14:paraId="4538D435" w14:textId="77777777" w:rsidR="00356A8B" w:rsidRDefault="00356A8B">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51" w:author="Autor" w:initials="A">
    <w:p w14:paraId="3031E01B" w14:textId="77777777" w:rsidR="00356A8B" w:rsidRDefault="00356A8B">
      <w:pPr>
        <w:pStyle w:val="Textkomentra"/>
      </w:pPr>
      <w:r>
        <w:rPr>
          <w:rStyle w:val="Odkaznakomentr"/>
          <w:szCs w:val="16"/>
        </w:rPr>
        <w:annotationRef/>
      </w:r>
      <w:r>
        <w:t xml:space="preserve">Celý odsek sa vymaže v prípade, ak sa v Projekte nerealizuje verejné obstarávanie alebo iné obstarávanie. </w:t>
      </w:r>
    </w:p>
  </w:comment>
  <w:comment w:id="52" w:author="Autor" w:initials="A">
    <w:p w14:paraId="046F2B80" w14:textId="77777777" w:rsidR="00356A8B" w:rsidRDefault="00356A8B">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53" w:author="Autor" w:initials="A">
    <w:p w14:paraId="37E4901D" w14:textId="77777777" w:rsidR="00356A8B" w:rsidRDefault="00356A8B">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54" w:author="Autor" w:initials="A">
    <w:p w14:paraId="56796E5E" w14:textId="77777777" w:rsidR="00356A8B" w:rsidRDefault="00356A8B">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55" w:author="Autor" w:initials="A">
    <w:p w14:paraId="12AC5972" w14:textId="77777777" w:rsidR="00356A8B" w:rsidRDefault="00356A8B">
      <w:pPr>
        <w:pStyle w:val="Textkomentra"/>
      </w:pPr>
      <w:r>
        <w:rPr>
          <w:rStyle w:val="Odkaznakomentr"/>
          <w:szCs w:val="16"/>
        </w:rPr>
        <w:annotationRef/>
      </w:r>
      <w:r>
        <w:t xml:space="preserve">Uplatní sa iba v projektoch, ktorých súčasťou je projektová alebo iná podkladová dokumentácia, inak sa vypustí. </w:t>
      </w:r>
    </w:p>
  </w:comment>
  <w:comment w:id="56" w:author="Autor" w:initials="A">
    <w:p w14:paraId="78F02155" w14:textId="77777777" w:rsidR="00356A8B" w:rsidRDefault="00356A8B">
      <w:pPr>
        <w:pStyle w:val="Textkomentra"/>
      </w:pPr>
      <w:r>
        <w:rPr>
          <w:rStyle w:val="Odkaznakomentr"/>
          <w:szCs w:val="16"/>
        </w:rPr>
        <w:annotationRef/>
      </w:r>
      <w:r>
        <w:t>Uplatní sa iba na projekty, v ktorých je cieľ projektu definovaný príslušnými MU</w:t>
      </w:r>
    </w:p>
  </w:comment>
  <w:comment w:id="57" w:author="Autor" w:initials="A">
    <w:p w14:paraId="2F3BBF8D" w14:textId="77777777" w:rsidR="00356A8B" w:rsidRDefault="00356A8B">
      <w:pPr>
        <w:pStyle w:val="Textkomentra"/>
      </w:pPr>
      <w:r>
        <w:rPr>
          <w:rStyle w:val="Odkaznakomentr"/>
          <w:szCs w:val="16"/>
        </w:rPr>
        <w:annotationRef/>
      </w:r>
      <w:r>
        <w:t xml:space="preserve">Uplatní sa iba na projekty, v ktorých sa realizuje VO, v ostatných prípadoch sa vypustí.  </w:t>
      </w:r>
    </w:p>
  </w:comment>
  <w:comment w:id="59" w:author="Autor" w:initials="A">
    <w:p w14:paraId="20B0D530" w14:textId="0742F149" w:rsidR="00356A8B" w:rsidRDefault="00356A8B">
      <w:pPr>
        <w:pStyle w:val="Textkomentra"/>
      </w:pPr>
      <w:r>
        <w:rPr>
          <w:rStyle w:val="Odkaznakomentr"/>
        </w:rPr>
        <w:annotationRef/>
      </w:r>
      <w:r w:rsidRPr="00B77684">
        <w:t>Konkrétne percento stanoví riadiaci orgán na základe vlastného riadneho odôvodnenia</w:t>
      </w:r>
      <w:r>
        <w:t xml:space="preserve">; </w:t>
      </w:r>
    </w:p>
  </w:comment>
  <w:comment w:id="60" w:author="Autor" w:initials="A">
    <w:p w14:paraId="2E2F2F80" w14:textId="54611480" w:rsidR="00356A8B" w:rsidRDefault="00356A8B">
      <w:pPr>
        <w:pStyle w:val="Textkomentra"/>
      </w:pPr>
      <w:r>
        <w:rPr>
          <w:rStyle w:val="Odkaznakomentr"/>
        </w:rPr>
        <w:annotationRef/>
      </w:r>
      <w:r w:rsidRPr="00B77684">
        <w:t>Konkrétne percento stanoví riadiaci orgán na základe vlastného riadneho odôvodnenia</w:t>
      </w:r>
      <w:r>
        <w:t>;</w:t>
      </w:r>
    </w:p>
  </w:comment>
  <w:comment w:id="61" w:author="Autor" w:initials="A">
    <w:p w14:paraId="3169937F" w14:textId="77777777" w:rsidR="00356A8B" w:rsidRDefault="00356A8B"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58" w:author="Autor" w:initials="A">
    <w:p w14:paraId="22305FDD" w14:textId="77777777" w:rsidR="00356A8B" w:rsidRDefault="00356A8B">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62" w:author="Autor" w:initials="A">
    <w:p w14:paraId="34DA5A62" w14:textId="77777777" w:rsidR="00356A8B" w:rsidRDefault="00356A8B">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3" w:author="Autor" w:initials="A">
    <w:p w14:paraId="39856AB6" w14:textId="77777777" w:rsidR="00AA45D8" w:rsidRDefault="00AA45D8">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64" w:author="Autor" w:initials="A">
    <w:p w14:paraId="37CA24D0" w14:textId="79E3F3C7" w:rsidR="00356A8B" w:rsidRDefault="00356A8B">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65" w:author="Autor" w:initials="A">
    <w:p w14:paraId="60F316C7" w14:textId="77777777" w:rsidR="00356A8B" w:rsidRDefault="00356A8B">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66" w:author="Autor" w:initials="A">
    <w:p w14:paraId="68BDBA9D" w14:textId="77777777" w:rsidR="00356A8B" w:rsidRDefault="00356A8B">
      <w:pPr>
        <w:pStyle w:val="Textkomentra"/>
      </w:pPr>
      <w:r>
        <w:rPr>
          <w:rStyle w:val="Odkaznakomentr"/>
          <w:szCs w:val="16"/>
        </w:rPr>
        <w:annotationRef/>
      </w:r>
      <w:r>
        <w:t>Ide o prípady upravené v Systéme riadenia EŠIF – kapitola 3.3.7.2 ods.7 a to predovšetkým spolupráca pri kontrole VO s ÚVO, PMÚ, OČTK</w:t>
      </w:r>
    </w:p>
  </w:comment>
  <w:comment w:id="67" w:author="Autor" w:initials="A">
    <w:p w14:paraId="51AD0F92" w14:textId="77777777" w:rsidR="00356A8B" w:rsidRDefault="00356A8B">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356A8B" w:rsidRDefault="00356A8B">
      <w:pPr>
        <w:pStyle w:val="Textkomentra"/>
      </w:pPr>
    </w:p>
  </w:comment>
  <w:comment w:id="68" w:author="Autor" w:initials="A">
    <w:p w14:paraId="36670AE0" w14:textId="77777777" w:rsidR="00356A8B" w:rsidRDefault="00356A8B">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69" w:author="Autor" w:initials="A">
    <w:p w14:paraId="12EC3FA4" w14:textId="77777777" w:rsidR="00356A8B" w:rsidRPr="000E2BE6" w:rsidRDefault="00356A8B" w:rsidP="00FB3443">
      <w:pPr>
        <w:pStyle w:val="Textkomentra"/>
      </w:pPr>
      <w:r>
        <w:rPr>
          <w:rStyle w:val="Odkaznakomentr"/>
        </w:rPr>
        <w:annotationRef/>
      </w:r>
      <w:r>
        <w:t>RO odstráni v prípade, že sa v projekte nevyužíva zjednodušené vykazovanie výdavkov.</w:t>
      </w:r>
    </w:p>
  </w:comment>
  <w:comment w:id="70" w:author="Autor" w:initials="A">
    <w:p w14:paraId="2A18F7A3" w14:textId="77777777" w:rsidR="00356A8B" w:rsidRDefault="00356A8B">
      <w:pPr>
        <w:pStyle w:val="Textkomentra"/>
      </w:pPr>
      <w:r>
        <w:rPr>
          <w:rStyle w:val="Odkaznakomentr"/>
        </w:rPr>
        <w:annotationRef/>
      </w:r>
      <w:r>
        <w:t xml:space="preserve">Vypustí sa v prípade, ak projekt nebude mať povinnosť predkladať Následnú monitorovaciu správu. </w:t>
      </w:r>
    </w:p>
  </w:comment>
  <w:comment w:id="71" w:author="Autor" w:initials="A">
    <w:p w14:paraId="1AE0EDE7" w14:textId="77777777" w:rsidR="00356A8B" w:rsidRDefault="00356A8B">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356A8B" w:rsidRDefault="00356A8B">
      <w:pPr>
        <w:pStyle w:val="Textkomentra"/>
      </w:pPr>
    </w:p>
  </w:comment>
  <w:comment w:id="72" w:author="Autor" w:initials="A">
    <w:p w14:paraId="7D783B46" w14:textId="77777777" w:rsidR="00356A8B" w:rsidRDefault="00356A8B">
      <w:pPr>
        <w:pStyle w:val="Textkomentra"/>
      </w:pPr>
      <w:r>
        <w:rPr>
          <w:rStyle w:val="Odkaznakomentr"/>
          <w:szCs w:val="16"/>
        </w:rPr>
        <w:annotationRef/>
      </w:r>
      <w:r>
        <w:t xml:space="preserve">Relevantné pre projekty ESF.  RO je oprávnený vypustiť toto ustanovenie pri projektoch technickej pomoci. </w:t>
      </w:r>
    </w:p>
  </w:comment>
  <w:comment w:id="73" w:author="Autor" w:initials="A">
    <w:p w14:paraId="0886EF55" w14:textId="77777777" w:rsidR="00356A8B" w:rsidRDefault="00356A8B">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74" w:author="Autor" w:initials="A">
    <w:p w14:paraId="3B984FF1" w14:textId="77777777" w:rsidR="00356A8B" w:rsidRDefault="00356A8B">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75" w:author="Autor" w:initials="A">
    <w:p w14:paraId="5D3FB601" w14:textId="77777777" w:rsidR="00356A8B" w:rsidRDefault="00356A8B">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76" w:author="Autor" w:initials="A">
    <w:p w14:paraId="70361BF4" w14:textId="77777777" w:rsidR="00356A8B" w:rsidRDefault="00356A8B">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77" w:author="Autor" w:initials="A">
    <w:p w14:paraId="66DB4671" w14:textId="77777777" w:rsidR="00356A8B" w:rsidRDefault="00356A8B">
      <w:pPr>
        <w:pStyle w:val="Textkomentra"/>
      </w:pPr>
      <w:r>
        <w:rPr>
          <w:rStyle w:val="Odkaznakomentr"/>
          <w:szCs w:val="16"/>
        </w:rPr>
        <w:annotationRef/>
      </w:r>
      <w:r>
        <w:t>Vypustí sa, ak sa v rámci Projektu nesleduje udržateľnosť</w:t>
      </w:r>
    </w:p>
  </w:comment>
  <w:comment w:id="78" w:author="Autor" w:initials="A">
    <w:p w14:paraId="052A3EFC" w14:textId="77777777" w:rsidR="00356A8B" w:rsidRDefault="00356A8B">
      <w:pPr>
        <w:pStyle w:val="Textkomentra"/>
      </w:pPr>
      <w:r>
        <w:rPr>
          <w:rStyle w:val="Odkaznakomentr"/>
        </w:rPr>
        <w:annotationRef/>
      </w:r>
      <w:r>
        <w:t xml:space="preserve">Vypustí sa, ak sa v rámci Projektu nesleduje udržateľnosť. </w:t>
      </w:r>
    </w:p>
  </w:comment>
  <w:comment w:id="79" w:author="Autor" w:initials="A">
    <w:p w14:paraId="40BF0C88" w14:textId="77777777" w:rsidR="00356A8B" w:rsidRDefault="00356A8B">
      <w:pPr>
        <w:pStyle w:val="Textkomentra"/>
      </w:pPr>
      <w:r>
        <w:rPr>
          <w:rStyle w:val="Odkaznakomentr"/>
          <w:szCs w:val="16"/>
        </w:rPr>
        <w:annotationRef/>
      </w:r>
      <w:r>
        <w:t>Napríklad zák. č. 278/1993 Z. z. o správe majetku štátu</w:t>
      </w:r>
    </w:p>
  </w:comment>
  <w:comment w:id="80" w:author="Autor" w:initials="A">
    <w:p w14:paraId="7C50A614" w14:textId="77777777" w:rsidR="00356A8B" w:rsidRDefault="00356A8B">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81" w:author="Autor" w:initials="A">
    <w:p w14:paraId="3D0043F4" w14:textId="77777777" w:rsidR="00356A8B" w:rsidRDefault="00356A8B">
      <w:pPr>
        <w:pStyle w:val="Textkomentra"/>
      </w:pPr>
      <w:r>
        <w:rPr>
          <w:rStyle w:val="Odkaznakomentr"/>
        </w:rPr>
        <w:annotationRef/>
      </w:r>
      <w:r>
        <w:t xml:space="preserve">Vypustí sa v prípade, ak sa v rámci Projektu nesleduje udržateľnosť. </w:t>
      </w:r>
    </w:p>
  </w:comment>
  <w:comment w:id="82" w:author="Autor" w:initials="A">
    <w:p w14:paraId="4E3BB6B0" w14:textId="77777777" w:rsidR="00356A8B" w:rsidRDefault="00356A8B">
      <w:pPr>
        <w:pStyle w:val="Textkomentra"/>
      </w:pPr>
      <w:r>
        <w:rPr>
          <w:rStyle w:val="Odkaznakomentr"/>
        </w:rPr>
        <w:annotationRef/>
      </w:r>
      <w:r>
        <w:t xml:space="preserve">Vypustí sa, ak sa v rámci projektu nesleduje udržateľnosť. </w:t>
      </w:r>
    </w:p>
  </w:comment>
  <w:comment w:id="83" w:author="Autor" w:initials="A">
    <w:p w14:paraId="63DC6FFA" w14:textId="77777777" w:rsidR="00356A8B" w:rsidRDefault="00356A8B">
      <w:pPr>
        <w:pStyle w:val="Textkomentra"/>
      </w:pPr>
      <w:r>
        <w:rPr>
          <w:rStyle w:val="Odkaznakomentr"/>
          <w:szCs w:val="16"/>
        </w:rPr>
        <w:annotationRef/>
      </w:r>
      <w:r>
        <w:t xml:space="preserve">Uvedené ustanovenie môže byť zúžené v nadväznosti na uznesenie vlády č. 171 zo dňa  09.03.2011. </w:t>
      </w:r>
    </w:p>
  </w:comment>
  <w:comment w:id="84" w:author="Autor" w:initials="A">
    <w:p w14:paraId="1AC0B532" w14:textId="77777777" w:rsidR="00356A8B" w:rsidRDefault="00356A8B">
      <w:pPr>
        <w:pStyle w:val="Textkomentra"/>
      </w:pPr>
      <w:r>
        <w:rPr>
          <w:rStyle w:val="Odkaznakomentr"/>
          <w:szCs w:val="16"/>
        </w:rPr>
        <w:annotationRef/>
      </w:r>
      <w:r>
        <w:t>Zosúladenie s písm. a) pre časovú oprávnenosť IZM</w:t>
      </w:r>
    </w:p>
  </w:comment>
  <w:comment w:id="85" w:author="Autor" w:initials="A">
    <w:p w14:paraId="6DF3FDCD" w14:textId="77777777" w:rsidR="00356A8B" w:rsidRDefault="00356A8B">
      <w:pPr>
        <w:pStyle w:val="Textkomentra"/>
      </w:pPr>
      <w:r>
        <w:rPr>
          <w:rStyle w:val="Odkaznakomentr"/>
          <w:szCs w:val="16"/>
        </w:rPr>
        <w:annotationRef/>
      </w:r>
      <w:r>
        <w:t>Upozorňuje sa na prepojenie s článkom 5 ods. 1 VP</w:t>
      </w:r>
    </w:p>
  </w:comment>
  <w:comment w:id="86" w:author="Autor" w:initials="A">
    <w:p w14:paraId="71907113" w14:textId="4D4EE3C8" w:rsidR="00356A8B" w:rsidRPr="001E4203" w:rsidRDefault="00356A8B" w:rsidP="00FB3443">
      <w:pPr>
        <w:pStyle w:val="Textkomentra"/>
      </w:pPr>
      <w:r>
        <w:rPr>
          <w:rStyle w:val="Odkaznakomentr"/>
        </w:rPr>
        <w:annotationRef/>
      </w:r>
      <w:r>
        <w:t>Odstráni sa pre projekty, v ktorých sa zjednodušené vykazovanie výdavkov neaplikuje</w:t>
      </w:r>
    </w:p>
  </w:comment>
  <w:comment w:id="87" w:author="Autor" w:initials="A">
    <w:p w14:paraId="445C9BFB" w14:textId="77777777" w:rsidR="00356A8B" w:rsidRDefault="00356A8B">
      <w:pPr>
        <w:pStyle w:val="Textkomentra"/>
      </w:pPr>
      <w:r>
        <w:rPr>
          <w:rStyle w:val="Odkaznakomentr"/>
          <w:szCs w:val="16"/>
        </w:rPr>
        <w:annotationRef/>
      </w:r>
      <w:r>
        <w:t xml:space="preserve">Poukazuje sa na súvisiace ustanovenie v čl. 9 ods. 7 VP. </w:t>
      </w:r>
    </w:p>
  </w:comment>
  <w:comment w:id="88" w:author="Autor" w:initials="A">
    <w:p w14:paraId="2FD8C56D" w14:textId="77777777" w:rsidR="00356A8B" w:rsidRDefault="00356A8B">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89" w:author="Autor" w:initials="A">
    <w:p w14:paraId="5B812675" w14:textId="77777777" w:rsidR="00356A8B" w:rsidRDefault="00356A8B">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90" w:author="Autor" w:initials="A">
    <w:p w14:paraId="04AD4819" w14:textId="77777777" w:rsidR="00356A8B" w:rsidRDefault="00356A8B">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9856AB6"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14F78" w14:textId="77777777" w:rsidR="004C3A3F" w:rsidRDefault="004C3A3F">
      <w:r>
        <w:separator/>
      </w:r>
    </w:p>
  </w:endnote>
  <w:endnote w:type="continuationSeparator" w:id="0">
    <w:p w14:paraId="54CAD3A9" w14:textId="77777777" w:rsidR="004C3A3F" w:rsidRDefault="004C3A3F">
      <w:r>
        <w:continuationSeparator/>
      </w:r>
    </w:p>
  </w:endnote>
  <w:endnote w:type="continuationNotice" w:id="1">
    <w:p w14:paraId="646048A9" w14:textId="77777777" w:rsidR="004C3A3F" w:rsidRDefault="004C3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0E3" w14:textId="77777777" w:rsidR="00356A8B" w:rsidRDefault="00356A8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F1C3" w14:textId="77777777" w:rsidR="00356A8B" w:rsidRDefault="00356A8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C5FF" w14:textId="77777777" w:rsidR="00356A8B" w:rsidRDefault="00356A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F49C5" w14:textId="77777777" w:rsidR="004C3A3F" w:rsidRDefault="004C3A3F">
      <w:r>
        <w:separator/>
      </w:r>
    </w:p>
  </w:footnote>
  <w:footnote w:type="continuationSeparator" w:id="0">
    <w:p w14:paraId="523C7361" w14:textId="77777777" w:rsidR="004C3A3F" w:rsidRDefault="004C3A3F">
      <w:r>
        <w:continuationSeparator/>
      </w:r>
    </w:p>
  </w:footnote>
  <w:footnote w:type="continuationNotice" w:id="1">
    <w:p w14:paraId="0345FC20" w14:textId="77777777" w:rsidR="004C3A3F" w:rsidRDefault="004C3A3F"/>
  </w:footnote>
  <w:footnote w:id="2">
    <w:p w14:paraId="08C712D3" w14:textId="77777777" w:rsidR="00356A8B" w:rsidRDefault="00356A8B">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356A8B" w:rsidRDefault="00356A8B">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356A8B" w:rsidRDefault="00356A8B">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7B4D" w14:textId="77777777" w:rsidR="00356A8B" w:rsidRDefault="00356A8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AB72" w14:textId="77777777" w:rsidR="00356A8B" w:rsidRDefault="00356A8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356A8B" w:rsidRDefault="00356A8B"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356A8B" w:rsidRDefault="00356A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1"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3"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9"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2"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2"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3"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7"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8"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9"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0"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1"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3"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4"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5"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7"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3"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6"/>
  </w:num>
  <w:num w:numId="2">
    <w:abstractNumId w:val="4"/>
  </w:num>
  <w:num w:numId="3">
    <w:abstractNumId w:val="40"/>
  </w:num>
  <w:num w:numId="4">
    <w:abstractNumId w:val="36"/>
  </w:num>
  <w:num w:numId="5">
    <w:abstractNumId w:val="52"/>
  </w:num>
  <w:num w:numId="6">
    <w:abstractNumId w:val="37"/>
  </w:num>
  <w:num w:numId="7">
    <w:abstractNumId w:val="3"/>
  </w:num>
  <w:num w:numId="8">
    <w:abstractNumId w:val="47"/>
  </w:num>
  <w:num w:numId="9">
    <w:abstractNumId w:val="45"/>
  </w:num>
  <w:num w:numId="10">
    <w:abstractNumId w:val="22"/>
  </w:num>
  <w:num w:numId="11">
    <w:abstractNumId w:val="27"/>
  </w:num>
  <w:num w:numId="12">
    <w:abstractNumId w:val="14"/>
  </w:num>
  <w:num w:numId="13">
    <w:abstractNumId w:val="13"/>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2"/>
  </w:num>
  <w:num w:numId="18">
    <w:abstractNumId w:val="56"/>
  </w:num>
  <w:num w:numId="19">
    <w:abstractNumId w:val="54"/>
  </w:num>
  <w:num w:numId="20">
    <w:abstractNumId w:val="28"/>
  </w:num>
  <w:num w:numId="21">
    <w:abstractNumId w:val="9"/>
  </w:num>
  <w:num w:numId="22">
    <w:abstractNumId w:val="53"/>
  </w:num>
  <w:num w:numId="23">
    <w:abstractNumId w:val="42"/>
  </w:num>
  <w:num w:numId="24">
    <w:abstractNumId w:val="61"/>
  </w:num>
  <w:num w:numId="25">
    <w:abstractNumId w:val="25"/>
  </w:num>
  <w:num w:numId="26">
    <w:abstractNumId w:val="34"/>
  </w:num>
  <w:num w:numId="27">
    <w:abstractNumId w:val="31"/>
  </w:num>
  <w:num w:numId="28">
    <w:abstractNumId w:val="16"/>
  </w:num>
  <w:num w:numId="29">
    <w:abstractNumId w:val="35"/>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6"/>
  </w:num>
  <w:num w:numId="35">
    <w:abstractNumId w:val="10"/>
  </w:num>
  <w:num w:numId="36">
    <w:abstractNumId w:val="29"/>
  </w:num>
  <w:num w:numId="37">
    <w:abstractNumId w:val="60"/>
  </w:num>
  <w:num w:numId="38">
    <w:abstractNumId w:val="17"/>
  </w:num>
  <w:num w:numId="39">
    <w:abstractNumId w:val="50"/>
  </w:num>
  <w:num w:numId="40">
    <w:abstractNumId w:val="64"/>
  </w:num>
  <w:num w:numId="41">
    <w:abstractNumId w:val="58"/>
  </w:num>
  <w:num w:numId="42">
    <w:abstractNumId w:val="20"/>
  </w:num>
  <w:num w:numId="43">
    <w:abstractNumId w:val="63"/>
  </w:num>
  <w:num w:numId="44">
    <w:abstractNumId w:val="23"/>
  </w:num>
  <w:num w:numId="45">
    <w:abstractNumId w:val="11"/>
  </w:num>
  <w:num w:numId="46">
    <w:abstractNumId w:val="62"/>
  </w:num>
  <w:num w:numId="47">
    <w:abstractNumId w:val="26"/>
  </w:num>
  <w:num w:numId="48">
    <w:abstractNumId w:val="32"/>
  </w:num>
  <w:num w:numId="49">
    <w:abstractNumId w:val="18"/>
  </w:num>
  <w:num w:numId="50">
    <w:abstractNumId w:val="38"/>
  </w:num>
  <w:num w:numId="51">
    <w:abstractNumId w:val="43"/>
  </w:num>
  <w:num w:numId="52">
    <w:abstractNumId w:val="30"/>
  </w:num>
  <w:num w:numId="53">
    <w:abstractNumId w:val="24"/>
  </w:num>
  <w:num w:numId="54">
    <w:abstractNumId w:val="48"/>
  </w:num>
  <w:num w:numId="55">
    <w:abstractNumId w:val="59"/>
  </w:num>
  <w:num w:numId="56">
    <w:abstractNumId w:val="15"/>
  </w:num>
  <w:num w:numId="57">
    <w:abstractNumId w:val="51"/>
  </w:num>
  <w:num w:numId="58">
    <w:abstractNumId w:val="19"/>
  </w:num>
  <w:num w:numId="59">
    <w:abstractNumId w:val="57"/>
  </w:num>
  <w:num w:numId="60">
    <w:abstractNumId w:val="33"/>
  </w:num>
  <w:num w:numId="61">
    <w:abstractNumId w:val="49"/>
  </w:num>
  <w:num w:numId="62">
    <w:abstractNumId w:val="1"/>
  </w:num>
  <w:num w:numId="63">
    <w:abstractNumId w:val="21"/>
  </w:num>
  <w:num w:numId="64">
    <w:abstractNumId w:val="55"/>
  </w:num>
  <w:num w:numId="65">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7"/>
  </w:num>
  <w:num w:numId="68">
    <w:abstractNumId w:val="4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2970"/>
    <w:rsid w:val="0000785D"/>
    <w:rsid w:val="00017DC4"/>
    <w:rsid w:val="00042B4C"/>
    <w:rsid w:val="0005111C"/>
    <w:rsid w:val="000534C1"/>
    <w:rsid w:val="00062C6D"/>
    <w:rsid w:val="000667BE"/>
    <w:rsid w:val="00072515"/>
    <w:rsid w:val="000748DF"/>
    <w:rsid w:val="00083609"/>
    <w:rsid w:val="000B5A35"/>
    <w:rsid w:val="000D2EEE"/>
    <w:rsid w:val="000D7491"/>
    <w:rsid w:val="00112682"/>
    <w:rsid w:val="001146F2"/>
    <w:rsid w:val="00123DF5"/>
    <w:rsid w:val="0013118C"/>
    <w:rsid w:val="0015261C"/>
    <w:rsid w:val="00153DB6"/>
    <w:rsid w:val="00170832"/>
    <w:rsid w:val="00173812"/>
    <w:rsid w:val="00177370"/>
    <w:rsid w:val="0018253D"/>
    <w:rsid w:val="00183ADA"/>
    <w:rsid w:val="00190EF8"/>
    <w:rsid w:val="00192B57"/>
    <w:rsid w:val="001A03A0"/>
    <w:rsid w:val="001A7C1F"/>
    <w:rsid w:val="001B38FE"/>
    <w:rsid w:val="001B4E44"/>
    <w:rsid w:val="001C16CB"/>
    <w:rsid w:val="001D0108"/>
    <w:rsid w:val="001E69AF"/>
    <w:rsid w:val="001F3894"/>
    <w:rsid w:val="001F552C"/>
    <w:rsid w:val="001F58A6"/>
    <w:rsid w:val="00201091"/>
    <w:rsid w:val="00205B38"/>
    <w:rsid w:val="00214715"/>
    <w:rsid w:val="00220E1C"/>
    <w:rsid w:val="00222BBE"/>
    <w:rsid w:val="002254C1"/>
    <w:rsid w:val="002256AE"/>
    <w:rsid w:val="00235974"/>
    <w:rsid w:val="00245C8D"/>
    <w:rsid w:val="00290CC2"/>
    <w:rsid w:val="002B0D72"/>
    <w:rsid w:val="002B5ECC"/>
    <w:rsid w:val="002B7EDD"/>
    <w:rsid w:val="002C2B6B"/>
    <w:rsid w:val="002E31F3"/>
    <w:rsid w:val="002E5BEB"/>
    <w:rsid w:val="002E67AF"/>
    <w:rsid w:val="002F402A"/>
    <w:rsid w:val="00330769"/>
    <w:rsid w:val="00342414"/>
    <w:rsid w:val="00356A8B"/>
    <w:rsid w:val="00360B63"/>
    <w:rsid w:val="00370E17"/>
    <w:rsid w:val="00376070"/>
    <w:rsid w:val="00396101"/>
    <w:rsid w:val="00396A8C"/>
    <w:rsid w:val="003A2502"/>
    <w:rsid w:val="003B7598"/>
    <w:rsid w:val="003C2180"/>
    <w:rsid w:val="003D1FD8"/>
    <w:rsid w:val="003D659A"/>
    <w:rsid w:val="00403938"/>
    <w:rsid w:val="00441348"/>
    <w:rsid w:val="0044276C"/>
    <w:rsid w:val="004533CA"/>
    <w:rsid w:val="00455EFF"/>
    <w:rsid w:val="00464F41"/>
    <w:rsid w:val="00471C6A"/>
    <w:rsid w:val="004C0998"/>
    <w:rsid w:val="004C2986"/>
    <w:rsid w:val="004C3A3F"/>
    <w:rsid w:val="004D3FA3"/>
    <w:rsid w:val="005079AA"/>
    <w:rsid w:val="00520399"/>
    <w:rsid w:val="00526C09"/>
    <w:rsid w:val="00537964"/>
    <w:rsid w:val="00544209"/>
    <w:rsid w:val="005771EA"/>
    <w:rsid w:val="0057799A"/>
    <w:rsid w:val="00577E30"/>
    <w:rsid w:val="005874A3"/>
    <w:rsid w:val="00590528"/>
    <w:rsid w:val="005948B0"/>
    <w:rsid w:val="005A00D9"/>
    <w:rsid w:val="005B2C37"/>
    <w:rsid w:val="005B6605"/>
    <w:rsid w:val="005C0A29"/>
    <w:rsid w:val="005C2008"/>
    <w:rsid w:val="005C39BB"/>
    <w:rsid w:val="005C3D49"/>
    <w:rsid w:val="005D1133"/>
    <w:rsid w:val="005E238B"/>
    <w:rsid w:val="005F3D0C"/>
    <w:rsid w:val="00607767"/>
    <w:rsid w:val="00610836"/>
    <w:rsid w:val="00627166"/>
    <w:rsid w:val="00667EEB"/>
    <w:rsid w:val="00676988"/>
    <w:rsid w:val="00692E64"/>
    <w:rsid w:val="006A5928"/>
    <w:rsid w:val="006A73F2"/>
    <w:rsid w:val="006B3191"/>
    <w:rsid w:val="006B5150"/>
    <w:rsid w:val="006B5458"/>
    <w:rsid w:val="006C0532"/>
    <w:rsid w:val="006D297B"/>
    <w:rsid w:val="006E7BFB"/>
    <w:rsid w:val="0070659B"/>
    <w:rsid w:val="007222F9"/>
    <w:rsid w:val="00744701"/>
    <w:rsid w:val="0075034F"/>
    <w:rsid w:val="00750420"/>
    <w:rsid w:val="00762912"/>
    <w:rsid w:val="00773ECD"/>
    <w:rsid w:val="007801A8"/>
    <w:rsid w:val="00780DB6"/>
    <w:rsid w:val="007817ED"/>
    <w:rsid w:val="00797069"/>
    <w:rsid w:val="007A16F9"/>
    <w:rsid w:val="007B4718"/>
    <w:rsid w:val="007D251E"/>
    <w:rsid w:val="007D3F85"/>
    <w:rsid w:val="00801751"/>
    <w:rsid w:val="00843BA3"/>
    <w:rsid w:val="00845B7C"/>
    <w:rsid w:val="00860EEE"/>
    <w:rsid w:val="00887A52"/>
    <w:rsid w:val="008900EB"/>
    <w:rsid w:val="008A06FB"/>
    <w:rsid w:val="008D7FF0"/>
    <w:rsid w:val="008E04DE"/>
    <w:rsid w:val="008E6985"/>
    <w:rsid w:val="008E7A90"/>
    <w:rsid w:val="008F0A54"/>
    <w:rsid w:val="008F681B"/>
    <w:rsid w:val="008F796D"/>
    <w:rsid w:val="00901B52"/>
    <w:rsid w:val="0090631F"/>
    <w:rsid w:val="00913905"/>
    <w:rsid w:val="00936336"/>
    <w:rsid w:val="009719E8"/>
    <w:rsid w:val="00991A94"/>
    <w:rsid w:val="00997DD3"/>
    <w:rsid w:val="009A35A1"/>
    <w:rsid w:val="009B5BEC"/>
    <w:rsid w:val="009B7918"/>
    <w:rsid w:val="009C726C"/>
    <w:rsid w:val="009D30D9"/>
    <w:rsid w:val="009D318A"/>
    <w:rsid w:val="009D5963"/>
    <w:rsid w:val="009F2A27"/>
    <w:rsid w:val="009F5F4F"/>
    <w:rsid w:val="009F6F5F"/>
    <w:rsid w:val="009F7686"/>
    <w:rsid w:val="00A03E16"/>
    <w:rsid w:val="00A075FC"/>
    <w:rsid w:val="00A26360"/>
    <w:rsid w:val="00A45554"/>
    <w:rsid w:val="00A62DB2"/>
    <w:rsid w:val="00A96DC4"/>
    <w:rsid w:val="00A97436"/>
    <w:rsid w:val="00AA45D8"/>
    <w:rsid w:val="00AD07BB"/>
    <w:rsid w:val="00AD2A2F"/>
    <w:rsid w:val="00AF617A"/>
    <w:rsid w:val="00B16E6B"/>
    <w:rsid w:val="00B1724C"/>
    <w:rsid w:val="00B23658"/>
    <w:rsid w:val="00B46BDD"/>
    <w:rsid w:val="00B51529"/>
    <w:rsid w:val="00B521A2"/>
    <w:rsid w:val="00B7700F"/>
    <w:rsid w:val="00B908AC"/>
    <w:rsid w:val="00B92BB9"/>
    <w:rsid w:val="00BA71A7"/>
    <w:rsid w:val="00BD3496"/>
    <w:rsid w:val="00BE011C"/>
    <w:rsid w:val="00BE3501"/>
    <w:rsid w:val="00C11800"/>
    <w:rsid w:val="00C2449D"/>
    <w:rsid w:val="00C402B7"/>
    <w:rsid w:val="00C43979"/>
    <w:rsid w:val="00C45B51"/>
    <w:rsid w:val="00C80EAB"/>
    <w:rsid w:val="00C87DF7"/>
    <w:rsid w:val="00C9575E"/>
    <w:rsid w:val="00C97411"/>
    <w:rsid w:val="00CA1DC8"/>
    <w:rsid w:val="00CE052D"/>
    <w:rsid w:val="00CE7FEA"/>
    <w:rsid w:val="00D04447"/>
    <w:rsid w:val="00D11D89"/>
    <w:rsid w:val="00D16335"/>
    <w:rsid w:val="00D24B78"/>
    <w:rsid w:val="00D278B9"/>
    <w:rsid w:val="00D32D2E"/>
    <w:rsid w:val="00D40E28"/>
    <w:rsid w:val="00D418EC"/>
    <w:rsid w:val="00D4194C"/>
    <w:rsid w:val="00D4679E"/>
    <w:rsid w:val="00D47078"/>
    <w:rsid w:val="00D54E2A"/>
    <w:rsid w:val="00D64EC4"/>
    <w:rsid w:val="00D770E2"/>
    <w:rsid w:val="00D86567"/>
    <w:rsid w:val="00DB5382"/>
    <w:rsid w:val="00DB561C"/>
    <w:rsid w:val="00DC27BB"/>
    <w:rsid w:val="00DC2BC9"/>
    <w:rsid w:val="00DC6655"/>
    <w:rsid w:val="00DD2508"/>
    <w:rsid w:val="00DD457A"/>
    <w:rsid w:val="00DE6F90"/>
    <w:rsid w:val="00DF36A2"/>
    <w:rsid w:val="00E00695"/>
    <w:rsid w:val="00E127C3"/>
    <w:rsid w:val="00E22B49"/>
    <w:rsid w:val="00E54E5B"/>
    <w:rsid w:val="00E81D27"/>
    <w:rsid w:val="00E867C0"/>
    <w:rsid w:val="00E93622"/>
    <w:rsid w:val="00E977DC"/>
    <w:rsid w:val="00EA3970"/>
    <w:rsid w:val="00EA40D3"/>
    <w:rsid w:val="00EB2071"/>
    <w:rsid w:val="00EC1E39"/>
    <w:rsid w:val="00EE0DF4"/>
    <w:rsid w:val="00EE33E5"/>
    <w:rsid w:val="00EF44B2"/>
    <w:rsid w:val="00F15516"/>
    <w:rsid w:val="00F30FA8"/>
    <w:rsid w:val="00F3375E"/>
    <w:rsid w:val="00F45E27"/>
    <w:rsid w:val="00F52C93"/>
    <w:rsid w:val="00F560C5"/>
    <w:rsid w:val="00F61651"/>
    <w:rsid w:val="00F61C24"/>
    <w:rsid w:val="00F74BBB"/>
    <w:rsid w:val="00F76811"/>
    <w:rsid w:val="00F76DFF"/>
    <w:rsid w:val="00F92ED0"/>
    <w:rsid w:val="00FA2F61"/>
    <w:rsid w:val="00FA3A9C"/>
    <w:rsid w:val="00FB3443"/>
    <w:rsid w:val="00FB494D"/>
    <w:rsid w:val="00FC59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CE09C-8079-4451-A655-15977DF0D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28162</Words>
  <Characters>160525</Characters>
  <Application>Microsoft Office Word</Application>
  <DocSecurity>0</DocSecurity>
  <Lines>1337</Lines>
  <Paragraphs>376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2018-04-27T11:34:00Z</dcterms:created>
  <dcterms:modified xsi:type="dcterms:W3CDTF">2018-06-04T14:59:00Z</dcterms:modified>
</cp:coreProperties>
</file>